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865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7853B2">
            <w:pPr>
              <w:adjustRightInd w:val="0"/>
              <w:snapToGrid w:val="0"/>
              <w:spacing w:line="360" w:lineRule="auto"/>
              <w:jc w:val="both"/>
              <w:rPr>
                <w:rFonts w:hint="eastAsia" w:ascii="宋体" w:hAnsi="宋体"/>
                <w:b/>
                <w:sz w:val="48"/>
                <w:szCs w:val="48"/>
              </w:rPr>
            </w:pPr>
          </w:p>
        </w:tc>
        <w:tc>
          <w:tcPr>
            <w:tcW w:w="2835" w:type="dxa"/>
            <w:vAlign w:val="center"/>
          </w:tcPr>
          <w:p w14:paraId="1E24E77C">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5EC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756E581">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03F38891">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53C603B4">
            <w:pPr>
              <w:pStyle w:val="6"/>
              <w:rPr>
                <w:rFonts w:hint="default"/>
                <w:lang w:val="en-US" w:eastAsia="zh-CN"/>
              </w:rPr>
            </w:pPr>
            <w:r>
              <w:rPr>
                <w:rFonts w:hint="eastAsia" w:ascii="宋体" w:hAnsi="宋体"/>
                <w:b/>
                <w:sz w:val="24"/>
                <w:szCs w:val="24"/>
                <w:lang w:val="en-US" w:eastAsia="zh-CN"/>
              </w:rPr>
              <w:t>日期：</w:t>
            </w:r>
          </w:p>
        </w:tc>
      </w:tr>
      <w:tr w14:paraId="7028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AAFC6FA">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3728D81E">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5D2C5053">
      <w:pPr>
        <w:pStyle w:val="6"/>
        <w:jc w:val="both"/>
        <w:rPr>
          <w:rFonts w:hint="eastAsia" w:ascii="宋体" w:hAnsi="宋体"/>
          <w:b/>
          <w:sz w:val="48"/>
          <w:szCs w:val="48"/>
        </w:rPr>
      </w:pPr>
    </w:p>
    <w:p w14:paraId="6033FB03">
      <w:pPr>
        <w:pStyle w:val="6"/>
        <w:jc w:val="center"/>
      </w:pPr>
      <w:r>
        <w:rPr>
          <w:rFonts w:hint="eastAsia" w:ascii="宋体" w:hAnsi="宋体"/>
          <w:b/>
          <w:sz w:val="48"/>
          <w:szCs w:val="48"/>
        </w:rPr>
        <w:t>濮阳县中医医院</w:t>
      </w:r>
    </w:p>
    <w:p w14:paraId="4FCFB2A5">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骨伤科设备采购项目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02</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3</w:t>
      </w:r>
      <w:bookmarkStart w:id="7" w:name="_GoBack"/>
      <w:bookmarkEnd w:id="7"/>
      <w:r>
        <w:rPr>
          <w:rFonts w:hint="eastAsia" w:ascii="宋体" w:hAnsi="宋体"/>
          <w:b/>
          <w:sz w:val="36"/>
          <w:szCs w:val="36"/>
        </w:rPr>
        <w:t>月</w:t>
      </w:r>
    </w:p>
    <w:p w14:paraId="187F9AC4">
      <w:pPr>
        <w:pStyle w:val="6"/>
        <w:rPr>
          <w:rFonts w:hint="eastAsia"/>
          <w:lang w:eastAsia="zh-CN"/>
        </w:rPr>
      </w:pPr>
    </w:p>
    <w:p w14:paraId="76ABEBA3">
      <w:pPr>
        <w:jc w:val="both"/>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濮阳县中医医院骨伤科设备采购项目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6-02</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濮阳县中医医院骨伤科设备采购项目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不锈钢牵引架1台</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 xml:space="preserve">4.8 </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72CD88E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2、依法取得有效《营业执照》（三证合一），设备生产商应具有医疗器械生产许可证或注册登记表；设备经销商应具有医疗器械经营许可证或备案凭证。</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3、投标文件递交时间：2026年4月2日15:00-15:30（北京时间）。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1、时间：2026年4月2日15：30分（北京时间）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3A5CD845">
      <w:pPr>
        <w:pStyle w:val="4"/>
        <w:ind w:left="0" w:leftChars="0" w:firstLine="0" w:firstLineChars="0"/>
        <w:rPr>
          <w:rFonts w:hint="eastAsia"/>
          <w:b/>
          <w:sz w:val="36"/>
          <w:szCs w:val="36"/>
          <w:lang w:val="en-US" w:eastAsia="zh-CN"/>
        </w:rPr>
      </w:pPr>
    </w:p>
    <w:p w14:paraId="1DBB0BE5">
      <w:pPr>
        <w:pStyle w:val="4"/>
        <w:ind w:left="0" w:leftChars="0" w:firstLine="0" w:firstLineChars="0"/>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项目名称：濮阳县中医医院骨伤科设备采购项目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项目编号：PXZYJZ2026-02</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48000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中标公司签订合同后，设备验收合格支付中标额的50%；设备验收合格12个月后付中标额40%，设备验收合格18个月后付中标额10%。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供货期：≤30天</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5A3AC889">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注：技术参数要求备注栏内带“*”标注的为重要技术参数。</w:t>
      </w:r>
    </w:p>
    <w:tbl>
      <w:tblPr>
        <w:tblStyle w:val="20"/>
        <w:tblpPr w:leftFromText="180" w:rightFromText="180" w:vertAnchor="page" w:horzAnchor="page" w:tblpX="1296" w:tblpY="2207"/>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9"/>
        <w:gridCol w:w="610"/>
        <w:gridCol w:w="4350"/>
        <w:gridCol w:w="2450"/>
        <w:gridCol w:w="799"/>
      </w:tblGrid>
      <w:tr w14:paraId="5EC2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exact"/>
        </w:trPr>
        <w:tc>
          <w:tcPr>
            <w:tcW w:w="1749" w:type="dxa"/>
            <w:gridSpan w:val="2"/>
            <w:noWrap w:val="0"/>
            <w:vAlign w:val="center"/>
          </w:tcPr>
          <w:p w14:paraId="726F86C3">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采购单位：</w:t>
            </w:r>
          </w:p>
        </w:tc>
        <w:tc>
          <w:tcPr>
            <w:tcW w:w="7599" w:type="dxa"/>
            <w:gridSpan w:val="3"/>
            <w:noWrap w:val="0"/>
            <w:vAlign w:val="center"/>
          </w:tcPr>
          <w:p w14:paraId="07B12338">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 xml:space="preserve">  濮阳县中医医院</w:t>
            </w:r>
          </w:p>
        </w:tc>
      </w:tr>
      <w:tr w14:paraId="15FF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restart"/>
            <w:noWrap w:val="0"/>
            <w:vAlign w:val="center"/>
          </w:tcPr>
          <w:p w14:paraId="01EEA968">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器械名称：</w:t>
            </w:r>
          </w:p>
        </w:tc>
        <w:tc>
          <w:tcPr>
            <w:tcW w:w="4350" w:type="dxa"/>
            <w:vMerge w:val="restart"/>
            <w:noWrap w:val="0"/>
            <w:vAlign w:val="center"/>
          </w:tcPr>
          <w:p w14:paraId="49B10A70">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不锈钢牵引架</w:t>
            </w:r>
          </w:p>
        </w:tc>
        <w:tc>
          <w:tcPr>
            <w:tcW w:w="3249" w:type="dxa"/>
            <w:gridSpan w:val="2"/>
            <w:noWrap w:val="0"/>
            <w:vAlign w:val="center"/>
          </w:tcPr>
          <w:p w14:paraId="444356ED">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 xml:space="preserve"> 数量： 1</w:t>
            </w:r>
          </w:p>
        </w:tc>
      </w:tr>
      <w:tr w14:paraId="7E3C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749" w:type="dxa"/>
            <w:gridSpan w:val="2"/>
            <w:vMerge w:val="continue"/>
            <w:noWrap w:val="0"/>
            <w:vAlign w:val="center"/>
          </w:tcPr>
          <w:p w14:paraId="0AC4D4CC">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p>
        </w:tc>
        <w:tc>
          <w:tcPr>
            <w:tcW w:w="4350" w:type="dxa"/>
            <w:vMerge w:val="continue"/>
            <w:noWrap w:val="0"/>
            <w:vAlign w:val="center"/>
          </w:tcPr>
          <w:p w14:paraId="703543C2">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p>
        </w:tc>
        <w:tc>
          <w:tcPr>
            <w:tcW w:w="3249" w:type="dxa"/>
            <w:gridSpan w:val="2"/>
            <w:noWrap w:val="0"/>
            <w:vAlign w:val="center"/>
          </w:tcPr>
          <w:p w14:paraId="526A27B4">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要求：国产 （进口/国产/不限）</w:t>
            </w:r>
          </w:p>
        </w:tc>
      </w:tr>
      <w:tr w14:paraId="3BB3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trPr>
        <w:tc>
          <w:tcPr>
            <w:tcW w:w="9348" w:type="dxa"/>
            <w:gridSpan w:val="5"/>
            <w:noWrap w:val="0"/>
            <w:vAlign w:val="center"/>
          </w:tcPr>
          <w:p w14:paraId="5C0742C0">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主要技术参数要求</w:t>
            </w:r>
          </w:p>
        </w:tc>
      </w:tr>
      <w:tr w14:paraId="121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139" w:type="dxa"/>
            <w:noWrap w:val="0"/>
            <w:vAlign w:val="center"/>
          </w:tcPr>
          <w:p w14:paraId="3E9A31F3">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序号</w:t>
            </w:r>
          </w:p>
        </w:tc>
        <w:tc>
          <w:tcPr>
            <w:tcW w:w="7410" w:type="dxa"/>
            <w:gridSpan w:val="3"/>
            <w:noWrap w:val="0"/>
            <w:vAlign w:val="center"/>
          </w:tcPr>
          <w:p w14:paraId="7C1014C6">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内    容</w:t>
            </w:r>
          </w:p>
        </w:tc>
        <w:tc>
          <w:tcPr>
            <w:tcW w:w="799" w:type="dxa"/>
            <w:noWrap w:val="0"/>
            <w:vAlign w:val="center"/>
          </w:tcPr>
          <w:p w14:paraId="1084BBF2">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备注</w:t>
            </w:r>
          </w:p>
        </w:tc>
      </w:tr>
      <w:tr w14:paraId="5E45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exact"/>
        </w:trPr>
        <w:tc>
          <w:tcPr>
            <w:tcW w:w="1139" w:type="dxa"/>
            <w:noWrap w:val="0"/>
            <w:vAlign w:val="center"/>
          </w:tcPr>
          <w:p w14:paraId="271749E0">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1</w:t>
            </w:r>
          </w:p>
        </w:tc>
        <w:tc>
          <w:tcPr>
            <w:tcW w:w="7410" w:type="dxa"/>
            <w:gridSpan w:val="3"/>
            <w:noWrap w:val="0"/>
            <w:vAlign w:val="center"/>
          </w:tcPr>
          <w:p w14:paraId="37B4288E">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不锈钢牵引架支撑臂伸缩行程≥54cm;</w:t>
            </w:r>
          </w:p>
        </w:tc>
        <w:tc>
          <w:tcPr>
            <w:tcW w:w="799" w:type="dxa"/>
            <w:noWrap w:val="0"/>
            <w:vAlign w:val="center"/>
          </w:tcPr>
          <w:p w14:paraId="2ED4F14D">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2A5D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exact"/>
        </w:trPr>
        <w:tc>
          <w:tcPr>
            <w:tcW w:w="1139" w:type="dxa"/>
            <w:noWrap w:val="0"/>
            <w:vAlign w:val="center"/>
          </w:tcPr>
          <w:p w14:paraId="7060C6E5">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2</w:t>
            </w:r>
          </w:p>
        </w:tc>
        <w:tc>
          <w:tcPr>
            <w:tcW w:w="7410" w:type="dxa"/>
            <w:gridSpan w:val="3"/>
            <w:noWrap w:val="0"/>
            <w:vAlign w:val="center"/>
          </w:tcPr>
          <w:p w14:paraId="254E84CB">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不锈钢牵引架第一关节角度≥90°</w:t>
            </w:r>
          </w:p>
        </w:tc>
        <w:tc>
          <w:tcPr>
            <w:tcW w:w="799" w:type="dxa"/>
            <w:noWrap w:val="0"/>
            <w:vAlign w:val="center"/>
          </w:tcPr>
          <w:p w14:paraId="3FF1FAF4">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w:t>
            </w:r>
          </w:p>
        </w:tc>
      </w:tr>
      <w:tr w14:paraId="6B65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exact"/>
        </w:trPr>
        <w:tc>
          <w:tcPr>
            <w:tcW w:w="1139" w:type="dxa"/>
            <w:noWrap w:val="0"/>
            <w:vAlign w:val="center"/>
          </w:tcPr>
          <w:p w14:paraId="582D1132">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3</w:t>
            </w:r>
          </w:p>
        </w:tc>
        <w:tc>
          <w:tcPr>
            <w:tcW w:w="7410" w:type="dxa"/>
            <w:gridSpan w:val="3"/>
            <w:noWrap w:val="0"/>
            <w:vAlign w:val="center"/>
          </w:tcPr>
          <w:p w14:paraId="5E2023E6">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不锈钢牵引架第二关节角度≥180°</w:t>
            </w:r>
          </w:p>
        </w:tc>
        <w:tc>
          <w:tcPr>
            <w:tcW w:w="799" w:type="dxa"/>
            <w:noWrap w:val="0"/>
            <w:vAlign w:val="center"/>
          </w:tcPr>
          <w:p w14:paraId="58FD42D0">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w:t>
            </w:r>
          </w:p>
        </w:tc>
      </w:tr>
      <w:tr w14:paraId="4195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trPr>
        <w:tc>
          <w:tcPr>
            <w:tcW w:w="1139" w:type="dxa"/>
            <w:noWrap w:val="0"/>
            <w:vAlign w:val="center"/>
          </w:tcPr>
          <w:p w14:paraId="36E8458D">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4</w:t>
            </w:r>
          </w:p>
        </w:tc>
        <w:tc>
          <w:tcPr>
            <w:tcW w:w="7410" w:type="dxa"/>
            <w:gridSpan w:val="3"/>
            <w:noWrap w:val="0"/>
            <w:vAlign w:val="center"/>
          </w:tcPr>
          <w:p w14:paraId="2AB62401">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脚踝固定器旋转角度≥360°;</w:t>
            </w:r>
          </w:p>
        </w:tc>
        <w:tc>
          <w:tcPr>
            <w:tcW w:w="799" w:type="dxa"/>
            <w:noWrap w:val="0"/>
            <w:vAlign w:val="center"/>
          </w:tcPr>
          <w:p w14:paraId="66D23D68">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3E78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exact"/>
        </w:trPr>
        <w:tc>
          <w:tcPr>
            <w:tcW w:w="1139" w:type="dxa"/>
            <w:noWrap w:val="0"/>
            <w:vAlign w:val="center"/>
          </w:tcPr>
          <w:p w14:paraId="1E3EFBEE">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5</w:t>
            </w:r>
          </w:p>
        </w:tc>
        <w:tc>
          <w:tcPr>
            <w:tcW w:w="7410" w:type="dxa"/>
            <w:gridSpan w:val="3"/>
            <w:noWrap w:val="0"/>
            <w:vAlign w:val="center"/>
          </w:tcPr>
          <w:p w14:paraId="3B01E236">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牵引器牵引行程≥20cm;</w:t>
            </w:r>
          </w:p>
        </w:tc>
        <w:tc>
          <w:tcPr>
            <w:tcW w:w="799" w:type="dxa"/>
            <w:noWrap w:val="0"/>
            <w:vAlign w:val="center"/>
          </w:tcPr>
          <w:p w14:paraId="0EEA5B2A">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696B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exact"/>
        </w:trPr>
        <w:tc>
          <w:tcPr>
            <w:tcW w:w="1139" w:type="dxa"/>
            <w:noWrap w:val="0"/>
            <w:vAlign w:val="center"/>
          </w:tcPr>
          <w:p w14:paraId="01FC3223">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6</w:t>
            </w:r>
          </w:p>
        </w:tc>
        <w:tc>
          <w:tcPr>
            <w:tcW w:w="7410" w:type="dxa"/>
            <w:gridSpan w:val="3"/>
            <w:noWrap w:val="0"/>
            <w:vAlign w:val="center"/>
          </w:tcPr>
          <w:p w14:paraId="7E448D6C">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牵引器升降调节行程≥40cm;</w:t>
            </w:r>
          </w:p>
        </w:tc>
        <w:tc>
          <w:tcPr>
            <w:tcW w:w="799" w:type="dxa"/>
            <w:noWrap w:val="0"/>
            <w:vAlign w:val="center"/>
          </w:tcPr>
          <w:p w14:paraId="575CA412">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1BB6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trPr>
        <w:tc>
          <w:tcPr>
            <w:tcW w:w="1139" w:type="dxa"/>
            <w:noWrap w:val="0"/>
            <w:vAlign w:val="center"/>
          </w:tcPr>
          <w:p w14:paraId="3DDEE3C9">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7</w:t>
            </w:r>
          </w:p>
        </w:tc>
        <w:tc>
          <w:tcPr>
            <w:tcW w:w="7410" w:type="dxa"/>
            <w:gridSpan w:val="3"/>
            <w:noWrap w:val="0"/>
            <w:vAlign w:val="center"/>
          </w:tcPr>
          <w:p w14:paraId="61B2077C">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侧身支架升降行程≥12cm;</w:t>
            </w:r>
          </w:p>
        </w:tc>
        <w:tc>
          <w:tcPr>
            <w:tcW w:w="799" w:type="dxa"/>
            <w:noWrap w:val="0"/>
            <w:vAlign w:val="center"/>
          </w:tcPr>
          <w:p w14:paraId="6B28E5A4">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6CF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exact"/>
        </w:trPr>
        <w:tc>
          <w:tcPr>
            <w:tcW w:w="1139" w:type="dxa"/>
            <w:noWrap w:val="0"/>
            <w:vAlign w:val="center"/>
          </w:tcPr>
          <w:p w14:paraId="258BEE39">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8</w:t>
            </w:r>
          </w:p>
        </w:tc>
        <w:tc>
          <w:tcPr>
            <w:tcW w:w="7410" w:type="dxa"/>
            <w:gridSpan w:val="3"/>
            <w:noWrap w:val="0"/>
            <w:vAlign w:val="center"/>
          </w:tcPr>
          <w:p w14:paraId="7F0100C6">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台车高度≥70cm</w:t>
            </w:r>
          </w:p>
        </w:tc>
        <w:tc>
          <w:tcPr>
            <w:tcW w:w="799" w:type="dxa"/>
            <w:noWrap w:val="0"/>
            <w:vAlign w:val="center"/>
          </w:tcPr>
          <w:p w14:paraId="51A8D3BB">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p>
        </w:tc>
      </w:tr>
      <w:tr w14:paraId="5DEB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exact"/>
        </w:trPr>
        <w:tc>
          <w:tcPr>
            <w:tcW w:w="1139" w:type="dxa"/>
            <w:noWrap w:val="0"/>
            <w:vAlign w:val="center"/>
          </w:tcPr>
          <w:p w14:paraId="0B5ED32F">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9</w:t>
            </w:r>
          </w:p>
        </w:tc>
        <w:tc>
          <w:tcPr>
            <w:tcW w:w="7410" w:type="dxa"/>
            <w:gridSpan w:val="3"/>
            <w:noWrap w:val="0"/>
            <w:vAlign w:val="center"/>
          </w:tcPr>
          <w:p w14:paraId="1E00EAFF">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高分子凝胶保护垫，具有聚酯衬垫特性，防水等级≥IPX8、与人体组织具有良好的生物相容性，不会产生毒性，对皮肤不会形成刺激，不致敏、具有良好的承重和力学传导能力，能够有效的起到支撑和体位固定的作用，垫子单位平方厘米承重≥27ON(以上均需提供第三方检测报告)</w:t>
            </w:r>
          </w:p>
        </w:tc>
        <w:tc>
          <w:tcPr>
            <w:tcW w:w="799" w:type="dxa"/>
            <w:noWrap w:val="0"/>
            <w:vAlign w:val="center"/>
          </w:tcPr>
          <w:p w14:paraId="68C7135F">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w:t>
            </w:r>
          </w:p>
        </w:tc>
      </w:tr>
      <w:tr w14:paraId="5C97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1139" w:type="dxa"/>
            <w:noWrap w:val="0"/>
            <w:vAlign w:val="center"/>
          </w:tcPr>
          <w:p w14:paraId="0EBD8F9C">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10</w:t>
            </w:r>
          </w:p>
        </w:tc>
        <w:tc>
          <w:tcPr>
            <w:tcW w:w="7410" w:type="dxa"/>
            <w:gridSpan w:val="3"/>
            <w:noWrap w:val="0"/>
            <w:vAlign w:val="center"/>
          </w:tcPr>
          <w:p w14:paraId="65A407DA">
            <w:pPr>
              <w:tabs>
                <w:tab w:val="left" w:pos="1556"/>
              </w:tabs>
              <w:spacing w:before="50"/>
              <w:jc w:val="left"/>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高分子凝胶保护垫，具有聚酯衬垫特性，采用无毒无害材质、具有良好的耐候性，热老化温度可达≥135度(需提供该成品所对应的第三方专业检测报告)。</w:t>
            </w:r>
          </w:p>
        </w:tc>
        <w:tc>
          <w:tcPr>
            <w:tcW w:w="799" w:type="dxa"/>
            <w:noWrap w:val="0"/>
            <w:vAlign w:val="center"/>
          </w:tcPr>
          <w:p w14:paraId="31A66307">
            <w:pPr>
              <w:tabs>
                <w:tab w:val="left" w:pos="1556"/>
              </w:tabs>
              <w:spacing w:before="50"/>
              <w:jc w:val="center"/>
              <w:rPr>
                <w:rFonts w:hint="eastAsia" w:asciiTheme="majorEastAsia" w:hAnsiTheme="majorEastAsia" w:eastAsiaTheme="majorEastAsia" w:cstheme="majorEastAsia"/>
                <w:color w:val="000000"/>
                <w:sz w:val="18"/>
                <w:szCs w:val="18"/>
                <w:lang w:val="en-US" w:eastAsia="zh-CN"/>
              </w:rPr>
            </w:pPr>
            <w:r>
              <w:rPr>
                <w:rFonts w:hint="eastAsia" w:asciiTheme="majorEastAsia" w:hAnsiTheme="majorEastAsia" w:eastAsiaTheme="majorEastAsia" w:cstheme="majorEastAsia"/>
                <w:color w:val="000000"/>
                <w:sz w:val="18"/>
                <w:szCs w:val="18"/>
                <w:lang w:val="en-US" w:eastAsia="zh-CN"/>
              </w:rPr>
              <w:t>*</w:t>
            </w:r>
          </w:p>
        </w:tc>
      </w:tr>
    </w:tbl>
    <w:p w14:paraId="2D75C590">
      <w:pPr>
        <w:adjustRightInd w:val="0"/>
        <w:snapToGrid w:val="0"/>
        <w:spacing w:line="500" w:lineRule="exact"/>
        <w:jc w:val="center"/>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10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352"/>
        <w:gridCol w:w="919"/>
        <w:gridCol w:w="1396"/>
        <w:gridCol w:w="6581"/>
      </w:tblGrid>
      <w:tr w14:paraId="2B02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352" w:type="dxa"/>
            <w:tcBorders>
              <w:left w:val="single" w:color="000000" w:sz="2" w:space="0"/>
              <w:bottom w:val="single" w:color="000000" w:sz="2" w:space="0"/>
            </w:tcBorders>
            <w:noWrap w:val="0"/>
            <w:vAlign w:val="center"/>
          </w:tcPr>
          <w:p w14:paraId="6A1E3658">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919" w:type="dxa"/>
            <w:tcBorders>
              <w:bottom w:val="single" w:color="000000" w:sz="2" w:space="0"/>
            </w:tcBorders>
            <w:noWrap w:val="0"/>
            <w:vAlign w:val="center"/>
          </w:tcPr>
          <w:p w14:paraId="25591ECC">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w:t>
            </w:r>
          </w:p>
        </w:tc>
        <w:tc>
          <w:tcPr>
            <w:tcW w:w="1396" w:type="dxa"/>
            <w:tcBorders>
              <w:bottom w:val="single" w:color="000000" w:sz="2" w:space="0"/>
            </w:tcBorders>
            <w:noWrap w:val="0"/>
            <w:vAlign w:val="center"/>
          </w:tcPr>
          <w:p w14:paraId="04E502D3">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评分因素分项</w:t>
            </w:r>
          </w:p>
        </w:tc>
        <w:tc>
          <w:tcPr>
            <w:tcW w:w="6581" w:type="dxa"/>
            <w:tcBorders>
              <w:bottom w:val="single" w:color="000000" w:sz="2" w:space="0"/>
            </w:tcBorders>
            <w:noWrap w:val="0"/>
            <w:vAlign w:val="center"/>
          </w:tcPr>
          <w:p w14:paraId="1DC2E73B">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评分标准</w:t>
            </w:r>
          </w:p>
        </w:tc>
      </w:tr>
      <w:tr w14:paraId="6603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6579" w:hRule="atLeast"/>
          <w:jc w:val="center"/>
        </w:trPr>
        <w:tc>
          <w:tcPr>
            <w:tcW w:w="1352" w:type="dxa"/>
            <w:tcBorders>
              <w:top w:val="single" w:color="000000" w:sz="2" w:space="0"/>
              <w:left w:val="single" w:color="000000" w:sz="6" w:space="0"/>
              <w:bottom w:val="single" w:color="000000" w:sz="2" w:space="0"/>
            </w:tcBorders>
            <w:noWrap w:val="0"/>
            <w:vAlign w:val="center"/>
          </w:tcPr>
          <w:p w14:paraId="77E1F6E9">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价格部分</w:t>
            </w:r>
          </w:p>
        </w:tc>
        <w:tc>
          <w:tcPr>
            <w:tcW w:w="919" w:type="dxa"/>
            <w:tcBorders>
              <w:top w:val="single" w:color="000000" w:sz="2" w:space="0"/>
              <w:bottom w:val="single" w:color="000000" w:sz="2" w:space="0"/>
            </w:tcBorders>
            <w:noWrap w:val="0"/>
            <w:vAlign w:val="center"/>
          </w:tcPr>
          <w:p w14:paraId="4E89BA9F">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30分</w:t>
            </w:r>
          </w:p>
        </w:tc>
        <w:tc>
          <w:tcPr>
            <w:tcW w:w="1396" w:type="dxa"/>
            <w:tcBorders>
              <w:top w:val="single" w:color="000000" w:sz="2" w:space="0"/>
              <w:bottom w:val="single" w:color="000000" w:sz="2" w:space="0"/>
            </w:tcBorders>
            <w:noWrap w:val="0"/>
            <w:vAlign w:val="center"/>
          </w:tcPr>
          <w:p w14:paraId="7D5D4872">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评标价格（30分）</w:t>
            </w:r>
          </w:p>
        </w:tc>
        <w:tc>
          <w:tcPr>
            <w:tcW w:w="6581" w:type="dxa"/>
            <w:tcBorders>
              <w:top w:val="single" w:color="000000" w:sz="2" w:space="0"/>
              <w:bottom w:val="single" w:color="000000" w:sz="2" w:space="0"/>
            </w:tcBorders>
            <w:noWrap w:val="0"/>
            <w:vAlign w:val="center"/>
          </w:tcPr>
          <w:p w14:paraId="5EF2E373">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实质性响应招标文件要求且价格最低的报价（含小微企业评标价）为评标基准价，其价格分为满分（即 30 分）。其他投标人的价格分统一按照下列公式计算：</w:t>
            </w:r>
          </w:p>
          <w:p w14:paraId="7B72AFC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报价得分=(评标基准价／投标报价)×30。（小数点后保留两位小数）</w:t>
            </w:r>
          </w:p>
          <w:p w14:paraId="02FB8C2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注：1、为促进中小企业发展，根据财政部、工信部关于印发《政府采购促进中小企业发展管理办法》的通知（财库〔2020〕46 号）文件及《国务院关于印发扎实稳住经济一揽子政策措施的通知》（国发〔2022〕12号）和财政部 《关于进一步加大政府采购支持中小企业力度的通知》（财库〔2022〕19号）规定，本项目对小型和微型企业报价给予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%的扣除，用扣除后的投标报价参与评审。投标人如符合“小型和微型企业”标准，应提供《中小企业声明函》，未提供声明函者不予认定；</w:t>
            </w:r>
          </w:p>
          <w:p w14:paraId="7886F0E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2、根据《关于政府采购支持监狱企业发展有关问题的通知》（财库[2014]68号）的要求，监狱和戒毒企业（以下简称监狱企业）视同小型、微型企业。须提供由省级以上监狱管理局、戒毒管理局（含新疆生产建设兵团）出具的属于监狱企业的证明文件；</w:t>
            </w:r>
          </w:p>
          <w:p w14:paraId="487FF1C5">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3、根据《财政部 民政部 中国残疾人联合会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须提供《残疾人福利性单位声明函》，格式见附件，未提供声明函者不予认定。</w:t>
            </w:r>
          </w:p>
        </w:tc>
      </w:tr>
      <w:tr w14:paraId="19AE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7" w:hRule="atLeast"/>
          <w:jc w:val="center"/>
        </w:trPr>
        <w:tc>
          <w:tcPr>
            <w:tcW w:w="1352" w:type="dxa"/>
            <w:vMerge w:val="restart"/>
            <w:tcBorders>
              <w:left w:val="single" w:color="000000" w:sz="6" w:space="0"/>
            </w:tcBorders>
            <w:noWrap w:val="0"/>
            <w:vAlign w:val="center"/>
          </w:tcPr>
          <w:p w14:paraId="6A69E4DA">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服务方案</w:t>
            </w:r>
          </w:p>
          <w:p w14:paraId="78F8A032">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restart"/>
            <w:noWrap w:val="0"/>
            <w:vAlign w:val="center"/>
          </w:tcPr>
          <w:p w14:paraId="17F5B96C">
            <w:pPr>
              <w:pageBreakBefore w:val="0"/>
              <w:kinsoku/>
              <w:overflowPunct/>
              <w:topLinePunct w:val="0"/>
              <w:bidi w:val="0"/>
              <w:spacing w:line="440" w:lineRule="exact"/>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13</w:t>
            </w:r>
            <w:r>
              <w:rPr>
                <w:rFonts w:hint="eastAsia" w:ascii="宋体" w:hAnsi="宋体" w:eastAsia="宋体" w:cs="宋体"/>
                <w:sz w:val="21"/>
                <w:szCs w:val="21"/>
              </w:rPr>
              <w:t>分</w:t>
            </w:r>
          </w:p>
          <w:p w14:paraId="5E8AB551">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04AB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保修期满后服务承诺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3AED6E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评委根据各投标人实际服务承诺情况进行打分，服务承诺完整合理可行的得2分，基本完整部分合理的得1分，无的得0分。</w:t>
            </w:r>
          </w:p>
        </w:tc>
      </w:tr>
      <w:tr w14:paraId="7554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30" w:hRule="atLeast"/>
          <w:jc w:val="center"/>
        </w:trPr>
        <w:tc>
          <w:tcPr>
            <w:tcW w:w="1352" w:type="dxa"/>
            <w:vMerge w:val="continue"/>
            <w:tcBorders>
              <w:left w:val="single" w:color="000000" w:sz="6" w:space="0"/>
            </w:tcBorders>
            <w:noWrap w:val="0"/>
            <w:vAlign w:val="center"/>
          </w:tcPr>
          <w:p w14:paraId="3892D1AF">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15DF3563">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3A93F3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货款支付方式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FADBF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满足招标指定要求得3分；不满足得0分。</w:t>
            </w:r>
          </w:p>
        </w:tc>
      </w:tr>
      <w:tr w14:paraId="2099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352" w:type="dxa"/>
            <w:vMerge w:val="continue"/>
            <w:tcBorders>
              <w:left w:val="single" w:color="000000" w:sz="6" w:space="0"/>
            </w:tcBorders>
            <w:noWrap w:val="0"/>
            <w:vAlign w:val="center"/>
          </w:tcPr>
          <w:p w14:paraId="3400D57B">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noWrap w:val="0"/>
            <w:vAlign w:val="center"/>
          </w:tcPr>
          <w:p w14:paraId="12E1329D">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070E6F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安装调试方案</w:t>
            </w:r>
          </w:p>
          <w:p w14:paraId="2F84E9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5242DE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1.安装、调试方案全面、详尽、合理、技术质量有保障、完全满足招标要求的，得4分；</w:t>
            </w:r>
          </w:p>
          <w:p w14:paraId="52CBD7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2.方案基本全面、详尽、合理、技术质量基本有保障、满足招标要求的，得3分；</w:t>
            </w:r>
          </w:p>
          <w:p w14:paraId="28D45C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3.方案不全面不详尽，但部分满足招标要求的，得2分；</w:t>
            </w:r>
          </w:p>
          <w:p w14:paraId="1BC5D1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4.方案不全面不合理的得1分。无方案的得0分。</w:t>
            </w:r>
          </w:p>
        </w:tc>
      </w:tr>
      <w:tr w14:paraId="18C2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568" w:hRule="atLeast"/>
          <w:jc w:val="center"/>
        </w:trPr>
        <w:tc>
          <w:tcPr>
            <w:tcW w:w="1352" w:type="dxa"/>
            <w:vMerge w:val="continue"/>
            <w:tcBorders>
              <w:left w:val="single" w:color="000000" w:sz="6" w:space="0"/>
              <w:bottom w:val="single" w:color="000000" w:sz="2" w:space="0"/>
            </w:tcBorders>
            <w:noWrap w:val="0"/>
            <w:vAlign w:val="center"/>
          </w:tcPr>
          <w:p w14:paraId="2A8C1E2D">
            <w:pPr>
              <w:pageBreakBefore w:val="0"/>
              <w:kinsoku/>
              <w:overflowPunct/>
              <w:topLinePunct w:val="0"/>
              <w:bidi w:val="0"/>
              <w:spacing w:line="440" w:lineRule="exact"/>
              <w:rPr>
                <w:rFonts w:hint="eastAsia" w:ascii="宋体" w:hAnsi="宋体" w:eastAsia="宋体" w:cs="宋体"/>
                <w:sz w:val="21"/>
                <w:szCs w:val="21"/>
              </w:rPr>
            </w:pPr>
          </w:p>
        </w:tc>
        <w:tc>
          <w:tcPr>
            <w:tcW w:w="919" w:type="dxa"/>
            <w:vMerge w:val="continue"/>
            <w:tcBorders>
              <w:bottom w:val="single" w:color="000000" w:sz="2" w:space="0"/>
            </w:tcBorders>
            <w:noWrap w:val="0"/>
            <w:vAlign w:val="center"/>
          </w:tcPr>
          <w:p w14:paraId="119416CB">
            <w:pPr>
              <w:pageBreakBefore w:val="0"/>
              <w:kinsoku/>
              <w:overflowPunct/>
              <w:topLinePunct w:val="0"/>
              <w:bidi w:val="0"/>
              <w:spacing w:line="440" w:lineRule="exact"/>
              <w:rPr>
                <w:rFonts w:hint="eastAsia" w:ascii="宋体" w:hAnsi="宋体" w:eastAsia="宋体" w:cs="宋体"/>
                <w:sz w:val="21"/>
                <w:szCs w:val="21"/>
              </w:rPr>
            </w:pPr>
          </w:p>
        </w:tc>
        <w:tc>
          <w:tcPr>
            <w:tcW w:w="1396" w:type="dxa"/>
            <w:tcBorders>
              <w:top w:val="single" w:color="000000" w:sz="2" w:space="0"/>
              <w:bottom w:val="single" w:color="000000" w:sz="2" w:space="0"/>
            </w:tcBorders>
            <w:noWrap w:val="0"/>
            <w:vAlign w:val="center"/>
          </w:tcPr>
          <w:p w14:paraId="65484E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p w14:paraId="5EDFF8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81" w:type="dxa"/>
            <w:tcBorders>
              <w:top w:val="single" w:color="000000" w:sz="2" w:space="0"/>
              <w:bottom w:val="single" w:color="000000" w:sz="2" w:space="0"/>
            </w:tcBorders>
            <w:noWrap w:val="0"/>
            <w:vAlign w:val="center"/>
          </w:tcPr>
          <w:p w14:paraId="07EB05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1、培训内容全面合理、培训计划详尽周到，完全满足招标要求的得4分。</w:t>
            </w:r>
          </w:p>
          <w:p w14:paraId="2E338E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2、培训内容基本全面合理详尽周到，基本满足招标要求的得3分。</w:t>
            </w:r>
          </w:p>
          <w:p w14:paraId="010C2A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3培训方案不全面不详尽的，得2分。</w:t>
            </w:r>
          </w:p>
          <w:p w14:paraId="082A64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4、无培训方案不得分。</w:t>
            </w:r>
          </w:p>
        </w:tc>
      </w:tr>
      <w:tr w14:paraId="4ABD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6FA8E3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p>
        </w:tc>
        <w:tc>
          <w:tcPr>
            <w:tcW w:w="919" w:type="dxa"/>
            <w:tcBorders>
              <w:top w:val="single" w:color="000000" w:sz="2" w:space="0"/>
              <w:bottom w:val="single" w:color="000000" w:sz="2" w:space="0"/>
            </w:tcBorders>
            <w:noWrap w:val="0"/>
            <w:vAlign w:val="center"/>
          </w:tcPr>
          <w:p w14:paraId="026A16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1396" w:type="dxa"/>
            <w:tcBorders>
              <w:top w:val="single" w:color="000000" w:sz="2" w:space="0"/>
              <w:bottom w:val="single" w:color="000000" w:sz="2" w:space="0"/>
            </w:tcBorders>
            <w:noWrap w:val="0"/>
            <w:vAlign w:val="center"/>
          </w:tcPr>
          <w:p w14:paraId="78F5C7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产品及供应商综合实力（</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581" w:type="dxa"/>
            <w:tcBorders>
              <w:top w:val="single" w:color="000000" w:sz="2" w:space="0"/>
              <w:bottom w:val="single" w:color="000000" w:sz="2" w:space="0"/>
            </w:tcBorders>
            <w:noWrap w:val="0"/>
            <w:vAlign w:val="center"/>
          </w:tcPr>
          <w:p w14:paraId="29A8A1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投标产品生产厂家医疗器械管理体系规范，获得ISO13485认证证书得3分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30A258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投标产品生产厂家医疗器械方面的环境管理规范，</w:t>
            </w:r>
            <w:r>
              <w:rPr>
                <w:rFonts w:hint="eastAsia" w:ascii="宋体" w:hAnsi="宋体" w:eastAsia="宋体" w:cs="宋体"/>
                <w:color w:val="auto"/>
                <w:sz w:val="21"/>
                <w:szCs w:val="21"/>
              </w:rPr>
              <w:t>获得</w:t>
            </w:r>
            <w:r>
              <w:rPr>
                <w:rFonts w:hint="eastAsia" w:ascii="宋体" w:hAnsi="宋体" w:eastAsia="宋体" w:cs="宋体"/>
                <w:color w:val="auto"/>
                <w:sz w:val="21"/>
                <w:szCs w:val="21"/>
                <w:highlight w:val="none"/>
              </w:rPr>
              <w:t>ISO14001认证证书</w:t>
            </w:r>
            <w:r>
              <w:rPr>
                <w:rFonts w:hint="eastAsia" w:ascii="宋体" w:hAnsi="宋体" w:eastAsia="宋体" w:cs="宋体"/>
                <w:color w:val="auto"/>
                <w:sz w:val="21"/>
                <w:szCs w:val="21"/>
              </w:rPr>
              <w:t>得3分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p w14:paraId="2C7ED1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3.投标产品生产厂家医疗器械方面的质量管理体系规范，获得ISO9001认证证书的得3分，</w:t>
            </w:r>
            <w:r>
              <w:rPr>
                <w:rFonts w:hint="eastAsia" w:ascii="宋体" w:hAnsi="宋体" w:cs="宋体"/>
                <w:color w:val="auto"/>
                <w:sz w:val="21"/>
                <w:szCs w:val="21"/>
                <w:lang w:val="en-US" w:eastAsia="zh-CN"/>
              </w:rPr>
              <w:t>无证书得0分</w:t>
            </w:r>
            <w:r>
              <w:rPr>
                <w:rFonts w:hint="eastAsia" w:ascii="宋体" w:hAnsi="宋体" w:eastAsia="宋体" w:cs="宋体"/>
                <w:color w:val="auto"/>
                <w:sz w:val="21"/>
                <w:szCs w:val="21"/>
              </w:rPr>
              <w:t>。</w:t>
            </w:r>
          </w:p>
        </w:tc>
      </w:tr>
      <w:tr w14:paraId="73B6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2018" w:hRule="atLeast"/>
          <w:jc w:val="center"/>
        </w:trPr>
        <w:tc>
          <w:tcPr>
            <w:tcW w:w="1352" w:type="dxa"/>
            <w:tcBorders>
              <w:top w:val="single" w:color="000000" w:sz="2" w:space="0"/>
              <w:left w:val="single" w:color="000000" w:sz="6" w:space="0"/>
              <w:bottom w:val="single" w:color="000000" w:sz="2" w:space="0"/>
            </w:tcBorders>
            <w:noWrap w:val="0"/>
            <w:vAlign w:val="center"/>
          </w:tcPr>
          <w:p w14:paraId="3A582FAB">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rPr>
              <w:t>技术参数</w:t>
            </w:r>
          </w:p>
          <w:p w14:paraId="1437A1C0">
            <w:pPr>
              <w:pageBreakBefore w:val="0"/>
              <w:kinsoku/>
              <w:overflowPunct/>
              <w:topLinePunct w:val="0"/>
              <w:bidi w:val="0"/>
              <w:spacing w:line="440" w:lineRule="exact"/>
              <w:rPr>
                <w:rFonts w:hint="eastAsia" w:ascii="宋体" w:hAnsi="宋体" w:eastAsia="宋体" w:cs="宋体"/>
                <w:sz w:val="21"/>
                <w:szCs w:val="21"/>
              </w:rPr>
            </w:pPr>
          </w:p>
        </w:tc>
        <w:tc>
          <w:tcPr>
            <w:tcW w:w="919" w:type="dxa"/>
            <w:tcBorders>
              <w:top w:val="single" w:color="000000" w:sz="2" w:space="0"/>
              <w:bottom w:val="single" w:color="000000" w:sz="2" w:space="0"/>
            </w:tcBorders>
            <w:noWrap w:val="0"/>
            <w:vAlign w:val="center"/>
          </w:tcPr>
          <w:p w14:paraId="14A2A0F2">
            <w:pPr>
              <w:pageBreakBefore w:val="0"/>
              <w:kinsoku/>
              <w:overflowPunct/>
              <w:topLinePunct w:val="0"/>
              <w:bidi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tc>
        <w:tc>
          <w:tcPr>
            <w:tcW w:w="1396" w:type="dxa"/>
            <w:tcBorders>
              <w:top w:val="single" w:color="000000" w:sz="2" w:space="0"/>
              <w:bottom w:val="single" w:color="000000" w:sz="2" w:space="0"/>
            </w:tcBorders>
            <w:noWrap w:val="0"/>
            <w:vAlign w:val="center"/>
          </w:tcPr>
          <w:p w14:paraId="0C6DD581">
            <w:pPr>
              <w:pageBreakBefore w:val="0"/>
              <w:kinsoku/>
              <w:overflowPunct/>
              <w:topLinePunct w:val="0"/>
              <w:bidi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技术参数（</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w:t>
            </w:r>
          </w:p>
          <w:p w14:paraId="39D54035">
            <w:pPr>
              <w:pageBreakBefore w:val="0"/>
              <w:kinsoku/>
              <w:overflowPunct/>
              <w:topLinePunct w:val="0"/>
              <w:bidi w:val="0"/>
              <w:spacing w:line="440" w:lineRule="exact"/>
              <w:jc w:val="center"/>
              <w:rPr>
                <w:rFonts w:hint="eastAsia" w:ascii="宋体" w:hAnsi="宋体" w:eastAsia="宋体" w:cs="宋体"/>
                <w:sz w:val="21"/>
                <w:szCs w:val="21"/>
              </w:rPr>
            </w:pPr>
          </w:p>
        </w:tc>
        <w:tc>
          <w:tcPr>
            <w:tcW w:w="6581" w:type="dxa"/>
            <w:tcBorders>
              <w:top w:val="single" w:color="000000" w:sz="2" w:space="0"/>
              <w:bottom w:val="single" w:color="000000" w:sz="2" w:space="0"/>
            </w:tcBorders>
            <w:noWrap w:val="0"/>
            <w:vAlign w:val="center"/>
          </w:tcPr>
          <w:p w14:paraId="5C47AFB5">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1、技术参数：完全满足招标文件技术参数与要求，得</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8</w:t>
            </w:r>
            <w:r>
              <w:rPr>
                <w:rFonts w:hint="eastAsia" w:ascii="宋体" w:hAnsi="宋体" w:eastAsia="宋体" w:cs="宋体"/>
                <w:sz w:val="21"/>
                <w:szCs w:val="21"/>
              </w:rPr>
              <w:t>分；与招标文件技术要求有细微偏差，根据细微偏差情况在基本分基础上减分。</w:t>
            </w:r>
          </w:p>
          <w:p w14:paraId="2BFD51CD">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2、带*号的技术指标是重要参数，在允许的范围内，低于技术要求的（负偏离）每项扣3分；扣完为止。不带*号的，每项不符合扣除1分；扣完为止。</w:t>
            </w:r>
          </w:p>
          <w:p w14:paraId="66AE0F5B">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3.投标人必须如实填写技术性能偏离表，如果出现技术性能偏离表上的描述与投标产品相关资料（注册证、检验报告、白皮书、宣传彩页等）上的描述不一致，评标委员会有权将其投标作废标处理。</w:t>
            </w:r>
          </w:p>
          <w:p w14:paraId="6A6991C8">
            <w:pPr>
              <w:pageBreakBefore w:val="0"/>
              <w:kinsoku/>
              <w:overflowPunct/>
              <w:topLinePunct w:val="0"/>
              <w:bidi w:val="0"/>
              <w:spacing w:line="440" w:lineRule="exact"/>
              <w:jc w:val="left"/>
              <w:rPr>
                <w:rFonts w:hint="eastAsia" w:ascii="宋体" w:hAnsi="宋体" w:eastAsia="宋体" w:cs="宋体"/>
                <w:sz w:val="21"/>
                <w:szCs w:val="21"/>
              </w:rPr>
            </w:pPr>
            <w:r>
              <w:rPr>
                <w:rFonts w:hint="eastAsia" w:ascii="宋体" w:hAnsi="宋体" w:eastAsia="宋体" w:cs="宋体"/>
                <w:sz w:val="21"/>
                <w:szCs w:val="21"/>
              </w:rPr>
              <w:t>4.如果投标人对于技术指标项不做响应，则认定该项为负偏离。</w:t>
            </w:r>
          </w:p>
        </w:tc>
      </w:tr>
    </w:tbl>
    <w:p w14:paraId="07683B55">
      <w:pPr>
        <w:jc w:val="both"/>
        <w:rPr>
          <w:rFonts w:hint="eastAsia" w:ascii="宋体" w:hAnsi="宋体"/>
          <w:b/>
          <w:bCs/>
          <w:sz w:val="36"/>
          <w:szCs w:val="36"/>
          <w:lang w:eastAsia="zh-CN"/>
        </w:rPr>
      </w:pPr>
    </w:p>
    <w:p w14:paraId="79C54653">
      <w:pPr>
        <w:jc w:val="both"/>
        <w:rPr>
          <w:rFonts w:hint="eastAsia" w:ascii="宋体" w:hAnsi="宋体"/>
          <w:b/>
          <w:bCs/>
          <w:sz w:val="36"/>
          <w:szCs w:val="36"/>
          <w:lang w:eastAsia="zh-CN"/>
        </w:rPr>
      </w:pPr>
    </w:p>
    <w:p w14:paraId="1475E243">
      <w:pPr>
        <w:jc w:val="both"/>
        <w:rPr>
          <w:rFonts w:hint="eastAsia" w:ascii="宋体" w:hAnsi="宋体"/>
          <w:b/>
          <w:bCs/>
          <w:sz w:val="36"/>
          <w:szCs w:val="36"/>
          <w:lang w:eastAsia="zh-CN"/>
        </w:rPr>
      </w:pPr>
    </w:p>
    <w:p w14:paraId="5521ACB5">
      <w:pPr>
        <w:jc w:val="both"/>
        <w:rPr>
          <w:rFonts w:hint="eastAsia" w:ascii="宋体" w:hAnsi="宋体"/>
          <w:b/>
          <w:bCs/>
          <w:sz w:val="36"/>
          <w:szCs w:val="36"/>
          <w:lang w:eastAsia="zh-CN"/>
        </w:rPr>
      </w:pPr>
    </w:p>
    <w:p w14:paraId="78E9DED9">
      <w:pPr>
        <w:jc w:val="both"/>
        <w:rPr>
          <w:rFonts w:hint="eastAsia" w:ascii="宋体" w:hAnsi="宋体"/>
          <w:b/>
          <w:bCs/>
          <w:sz w:val="36"/>
          <w:szCs w:val="36"/>
          <w:lang w:eastAsia="zh-CN"/>
        </w:rPr>
      </w:pPr>
    </w:p>
    <w:p w14:paraId="5224B6CF">
      <w:pPr>
        <w:spacing w:line="360" w:lineRule="auto"/>
        <w:jc w:val="center"/>
        <w:rPr>
          <w:rFonts w:hint="eastAsia"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合同书</w:t>
      </w:r>
    </w:p>
    <w:p w14:paraId="73638182">
      <w:pPr>
        <w:rPr>
          <w:rFonts w:hint="eastAsia"/>
          <w:sz w:val="32"/>
          <w:szCs w:val="32"/>
        </w:rPr>
      </w:pPr>
    </w:p>
    <w:p w14:paraId="34877DE1">
      <w:pPr>
        <w:snapToGrid w:val="0"/>
        <w:spacing w:line="360" w:lineRule="auto"/>
        <w:rPr>
          <w:rFonts w:hint="eastAsia" w:ascii="仿宋" w:hAnsi="仿宋" w:eastAsia="仿宋"/>
          <w:sz w:val="24"/>
        </w:rPr>
      </w:pPr>
      <w:r>
        <w:rPr>
          <w:rFonts w:hint="eastAsia" w:ascii="仿宋" w:hAnsi="仿宋" w:eastAsia="仿宋"/>
          <w:sz w:val="24"/>
        </w:rPr>
        <w:t>甲方：濮阳县中医医院</w:t>
      </w:r>
    </w:p>
    <w:p w14:paraId="34853FF6">
      <w:pPr>
        <w:snapToGrid w:val="0"/>
        <w:spacing w:line="360" w:lineRule="auto"/>
        <w:rPr>
          <w:rFonts w:hint="eastAsia" w:ascii="仿宋" w:hAnsi="仿宋" w:eastAsia="仿宋"/>
          <w:color w:val="FF0000"/>
          <w:sz w:val="24"/>
          <w:u w:val="single"/>
          <w:lang w:val="en-US" w:eastAsia="zh-CN"/>
        </w:rPr>
      </w:pPr>
      <w:r>
        <w:rPr>
          <w:rFonts w:hint="eastAsia" w:ascii="仿宋" w:hAnsi="仿宋" w:eastAsia="仿宋"/>
          <w:sz w:val="24"/>
        </w:rPr>
        <w:t>乙方：</w:t>
      </w:r>
      <w:r>
        <w:rPr>
          <w:rFonts w:hint="eastAsia" w:ascii="仿宋" w:hAnsi="仿宋" w:eastAsia="仿宋"/>
          <w:color w:val="FF0000"/>
          <w:sz w:val="24"/>
          <w:u w:val="single"/>
          <w:lang w:val="en-US" w:eastAsia="zh-CN"/>
        </w:rPr>
        <w:t xml:space="preserve">               </w:t>
      </w:r>
    </w:p>
    <w:p w14:paraId="5DE4F9CA">
      <w:pPr>
        <w:snapToGrid w:val="0"/>
        <w:spacing w:line="360" w:lineRule="auto"/>
        <w:rPr>
          <w:rFonts w:hint="eastAsia" w:ascii="仿宋" w:hAnsi="仿宋" w:eastAsia="仿宋"/>
          <w:sz w:val="24"/>
        </w:rPr>
      </w:pPr>
      <w:r>
        <w:rPr>
          <w:rFonts w:hint="eastAsia" w:ascii="仿宋" w:hAnsi="仿宋" w:eastAsia="仿宋"/>
          <w:sz w:val="24"/>
        </w:rPr>
        <w:t>乙方经参加甲方组织的竞标并中标，经双方协商达成如下合同条款：</w:t>
      </w:r>
    </w:p>
    <w:p w14:paraId="3D0E2B8E">
      <w:pPr>
        <w:snapToGrid w:val="0"/>
        <w:spacing w:line="360" w:lineRule="auto"/>
        <w:rPr>
          <w:rFonts w:hint="eastAsia" w:ascii="仿宋" w:hAnsi="仿宋" w:eastAsia="仿宋"/>
          <w:sz w:val="24"/>
        </w:rPr>
      </w:pPr>
      <w:r>
        <w:rPr>
          <w:rFonts w:hint="eastAsia" w:ascii="仿宋" w:hAnsi="仿宋" w:eastAsia="仿宋"/>
          <w:sz w:val="24"/>
        </w:rPr>
        <w:t>1.乙方向甲方提供</w:t>
      </w:r>
      <w:r>
        <w:rPr>
          <w:rFonts w:hint="eastAsia" w:ascii="仿宋" w:hAnsi="仿宋" w:eastAsia="仿宋"/>
          <w:color w:val="FF0000"/>
          <w:sz w:val="24"/>
          <w:lang w:val="en-US" w:eastAsia="zh-CN"/>
        </w:rPr>
        <w:t xml:space="preserve"> </w:t>
      </w:r>
      <w:r>
        <w:rPr>
          <w:rFonts w:hint="eastAsia" w:ascii="仿宋" w:hAnsi="仿宋" w:eastAsia="仿宋"/>
          <w:color w:val="FF0000"/>
          <w:sz w:val="24"/>
          <w:u w:val="single"/>
          <w:lang w:val="en-US" w:eastAsia="zh-CN"/>
        </w:rPr>
        <w:t xml:space="preserve">        </w:t>
      </w:r>
      <w:r>
        <w:rPr>
          <w:rFonts w:hint="eastAsia" w:ascii="仿宋" w:hAnsi="仿宋" w:eastAsia="仿宋"/>
          <w:sz w:val="24"/>
        </w:rPr>
        <w:t>，生产厂家：</w:t>
      </w:r>
      <w:r>
        <w:rPr>
          <w:rFonts w:hint="eastAsia" w:ascii="仿宋" w:hAnsi="仿宋" w:eastAsia="仿宋"/>
          <w:color w:val="FF0000"/>
          <w:sz w:val="24"/>
          <w:u w:val="single"/>
          <w:lang w:val="en-US" w:eastAsia="zh-CN"/>
        </w:rPr>
        <w:t xml:space="preserve">                </w:t>
      </w:r>
      <w:r>
        <w:rPr>
          <w:rFonts w:hint="eastAsia" w:ascii="仿宋" w:hAnsi="仿宋" w:eastAsia="仿宋"/>
          <w:sz w:val="24"/>
        </w:rPr>
        <w:t>，型号：</w:t>
      </w:r>
      <w:r>
        <w:rPr>
          <w:rFonts w:hint="eastAsia" w:ascii="仿宋" w:hAnsi="仿宋" w:eastAsia="仿宋"/>
          <w:color w:val="FF0000"/>
          <w:sz w:val="24"/>
          <w:u w:val="single"/>
          <w:lang w:val="en-US" w:eastAsia="zh-CN"/>
        </w:rPr>
        <w:t xml:space="preserve">        </w:t>
      </w:r>
      <w:r>
        <w:rPr>
          <w:rFonts w:hint="eastAsia" w:ascii="仿宋" w:hAnsi="仿宋" w:eastAsia="仿宋"/>
          <w:sz w:val="24"/>
        </w:rPr>
        <w:t>。</w:t>
      </w:r>
    </w:p>
    <w:p w14:paraId="63C1E7B0">
      <w:pPr>
        <w:snapToGrid w:val="0"/>
        <w:spacing w:line="360" w:lineRule="auto"/>
        <w:rPr>
          <w:rFonts w:hint="eastAsia" w:ascii="仿宋" w:hAnsi="仿宋" w:eastAsia="仿宋"/>
          <w:sz w:val="24"/>
        </w:rPr>
      </w:pPr>
      <w:r>
        <w:rPr>
          <w:rFonts w:hint="eastAsia" w:ascii="仿宋" w:hAnsi="仿宋" w:eastAsia="仿宋"/>
          <w:sz w:val="24"/>
        </w:rPr>
        <w:t>2.成交价格：合计人民币</w:t>
      </w:r>
      <w:r>
        <w:rPr>
          <w:rFonts w:hint="eastAsia" w:ascii="仿宋" w:hAnsi="仿宋" w:eastAsia="仿宋"/>
          <w:color w:val="FF0000"/>
          <w:sz w:val="24"/>
          <w:u w:val="single"/>
          <w:lang w:val="en-US" w:eastAsia="zh-CN"/>
        </w:rPr>
        <w:t xml:space="preserve">       </w:t>
      </w:r>
      <w:r>
        <w:rPr>
          <w:rFonts w:hint="eastAsia" w:ascii="仿宋" w:hAnsi="仿宋" w:eastAsia="仿宋"/>
          <w:sz w:val="24"/>
        </w:rPr>
        <w:t>万元。大写</w:t>
      </w:r>
      <w:r>
        <w:rPr>
          <w:rFonts w:hint="eastAsia" w:ascii="仿宋" w:hAnsi="仿宋" w:eastAsia="仿宋"/>
          <w:sz w:val="24"/>
          <w:lang w:eastAsia="zh-CN"/>
        </w:rPr>
        <w:t>：</w:t>
      </w:r>
      <w:r>
        <w:rPr>
          <w:rFonts w:hint="eastAsia" w:ascii="仿宋" w:hAnsi="仿宋" w:eastAsia="仿宋"/>
          <w:color w:val="FF0000"/>
          <w:sz w:val="24"/>
          <w:u w:val="single"/>
          <w:lang w:val="en-US" w:eastAsia="zh-CN"/>
        </w:rPr>
        <w:t xml:space="preserve">               </w:t>
      </w:r>
      <w:r>
        <w:rPr>
          <w:rFonts w:hint="eastAsia" w:ascii="仿宋" w:hAnsi="仿宋" w:eastAsia="仿宋"/>
          <w:sz w:val="24"/>
        </w:rPr>
        <w:t>。</w:t>
      </w:r>
    </w:p>
    <w:p w14:paraId="5501B16A">
      <w:pPr>
        <w:snapToGrid w:val="0"/>
        <w:spacing w:line="360" w:lineRule="auto"/>
        <w:rPr>
          <w:rFonts w:hint="eastAsia" w:ascii="仿宋" w:hAnsi="仿宋" w:eastAsia="仿宋"/>
          <w:color w:val="FF0000"/>
          <w:sz w:val="24"/>
        </w:rPr>
      </w:pPr>
      <w:r>
        <w:rPr>
          <w:rFonts w:hint="eastAsia" w:ascii="仿宋" w:hAnsi="仿宋" w:eastAsia="仿宋"/>
          <w:sz w:val="24"/>
        </w:rPr>
        <w:t>3.付款方式：</w:t>
      </w:r>
      <w:r>
        <w:rPr>
          <w:rFonts w:hint="eastAsia" w:ascii="仿宋" w:hAnsi="仿宋" w:eastAsia="仿宋"/>
          <w:color w:val="FF0000"/>
          <w:sz w:val="24"/>
          <w:u w:val="single"/>
          <w:lang w:val="en-US" w:eastAsia="zh-CN"/>
        </w:rPr>
        <w:t xml:space="preserve">                              </w:t>
      </w:r>
      <w:r>
        <w:rPr>
          <w:rFonts w:hint="eastAsia" w:ascii="仿宋" w:hAnsi="仿宋" w:eastAsia="仿宋"/>
          <w:color w:val="FF0000"/>
          <w:sz w:val="24"/>
        </w:rPr>
        <w:t>。</w:t>
      </w:r>
    </w:p>
    <w:p w14:paraId="599730E1">
      <w:pPr>
        <w:snapToGrid w:val="0"/>
        <w:spacing w:line="360" w:lineRule="auto"/>
        <w:rPr>
          <w:rFonts w:hint="eastAsia" w:ascii="仿宋" w:hAnsi="仿宋" w:eastAsia="仿宋"/>
          <w:sz w:val="24"/>
        </w:rPr>
      </w:pPr>
      <w:r>
        <w:rPr>
          <w:rFonts w:hint="eastAsia" w:ascii="仿宋" w:hAnsi="仿宋" w:eastAsia="仿宋"/>
          <w:sz w:val="24"/>
        </w:rPr>
        <w:t>4.交货（服务）时间为</w:t>
      </w:r>
      <w:r>
        <w:rPr>
          <w:rFonts w:hint="eastAsia" w:ascii="仿宋" w:hAnsi="仿宋" w:eastAsia="仿宋"/>
          <w:color w:val="FF0000"/>
          <w:sz w:val="24"/>
        </w:rPr>
        <w:t>年月</w:t>
      </w:r>
      <w:r>
        <w:rPr>
          <w:rFonts w:hint="eastAsia" w:ascii="仿宋" w:hAnsi="仿宋" w:eastAsia="仿宋"/>
          <w:sz w:val="24"/>
        </w:rPr>
        <w:t>日前。</w:t>
      </w:r>
    </w:p>
    <w:p w14:paraId="74E4E37B">
      <w:pPr>
        <w:snapToGrid w:val="0"/>
        <w:spacing w:line="360" w:lineRule="auto"/>
        <w:rPr>
          <w:rFonts w:hint="eastAsia" w:ascii="仿宋" w:hAnsi="仿宋" w:eastAsia="仿宋"/>
          <w:sz w:val="24"/>
        </w:rPr>
      </w:pPr>
      <w:r>
        <w:rPr>
          <w:rFonts w:hint="eastAsia" w:ascii="仿宋" w:hAnsi="仿宋" w:eastAsia="仿宋"/>
          <w:sz w:val="24"/>
        </w:rPr>
        <w:t>5.交货（服务）地点及运费：甲方指定地点，费用由乙方承担。</w:t>
      </w:r>
    </w:p>
    <w:p w14:paraId="6446338E">
      <w:pPr>
        <w:snapToGrid w:val="0"/>
        <w:spacing w:line="360" w:lineRule="auto"/>
        <w:rPr>
          <w:rFonts w:hint="eastAsia" w:ascii="仿宋" w:hAnsi="仿宋" w:eastAsia="仿宋"/>
          <w:sz w:val="24"/>
        </w:rPr>
      </w:pPr>
      <w:r>
        <w:rPr>
          <w:rFonts w:hint="eastAsia" w:ascii="仿宋" w:hAnsi="仿宋" w:eastAsia="仿宋"/>
          <w:sz w:val="24"/>
        </w:rPr>
        <w:t>6.甲方无正当理由拒收设备（服务）、拒付款应向乙方偿付拒付部分设备（服务）款总额5%的违约金。甲方逾期付款的，应向乙方每日偿付欠款部分0.05%的违约金。乙方不能交付设备（服务）的，需向甲方支付未缴付部分设备（服务）款的5%的违约金。逾期交货（服务）乙方向甲方每日偿付设备（服务）款总值的0.05%的违约金,逾期30自然日未交付货品（服务）按不能交付处理。乙方所供设备（服务）不符合合同规定，甲方有权拒收设备（服务），乙方应负责免费更换，因更换造成逾期交货，按逾期交货（服务）处理。</w:t>
      </w:r>
    </w:p>
    <w:p w14:paraId="3C25A73F">
      <w:pPr>
        <w:snapToGrid w:val="0"/>
        <w:spacing w:line="360" w:lineRule="auto"/>
        <w:rPr>
          <w:rFonts w:hint="eastAsia" w:ascii="仿宋" w:hAnsi="仿宋" w:eastAsia="仿宋"/>
          <w:sz w:val="24"/>
        </w:rPr>
      </w:pPr>
      <w:r>
        <w:rPr>
          <w:rFonts w:hint="eastAsia" w:ascii="仿宋" w:hAnsi="仿宋" w:eastAsia="仿宋"/>
          <w:sz w:val="24"/>
        </w:rPr>
        <w:t>7.操作使用培训、售后维修等其他约定见乙方投标书及合同附页。乙方投标书及合同附页是本合同不可分割的一部分，并具同等法律效力。投标书中与合同或合同附页不同的以合同或合同附页为准（比如价格及付款方式）。</w:t>
      </w:r>
    </w:p>
    <w:p w14:paraId="340AB95D">
      <w:pPr>
        <w:snapToGrid w:val="0"/>
        <w:spacing w:line="360" w:lineRule="auto"/>
        <w:rPr>
          <w:rFonts w:hint="eastAsia" w:ascii="仿宋" w:hAnsi="仿宋" w:eastAsia="仿宋"/>
          <w:sz w:val="24"/>
        </w:rPr>
      </w:pPr>
      <w:r>
        <w:rPr>
          <w:rFonts w:hint="eastAsia" w:ascii="仿宋" w:hAnsi="仿宋" w:eastAsia="仿宋"/>
          <w:sz w:val="24"/>
        </w:rPr>
        <w:t>8.本合同一式三份，甲方持有二份，乙方持有一份。本合同自签订之日起即生效。</w:t>
      </w:r>
    </w:p>
    <w:p w14:paraId="19241A2D">
      <w:pPr>
        <w:snapToGrid w:val="0"/>
        <w:spacing w:line="360" w:lineRule="auto"/>
        <w:rPr>
          <w:rFonts w:ascii="仿宋" w:hAnsi="仿宋" w:eastAsia="仿宋"/>
          <w:sz w:val="24"/>
        </w:rPr>
      </w:pPr>
      <w:r>
        <w:rPr>
          <w:rFonts w:hint="eastAsia" w:ascii="仿宋" w:hAnsi="仿宋" w:eastAsia="仿宋"/>
          <w:sz w:val="24"/>
        </w:rPr>
        <w:t>9.本合同发生争议产生的诉讼，由甲方所在地法院裁决。</w:t>
      </w:r>
    </w:p>
    <w:p w14:paraId="495BE6CD">
      <w:pPr>
        <w:snapToGrid w:val="0"/>
        <w:spacing w:line="360" w:lineRule="auto"/>
        <w:rPr>
          <w:rFonts w:hint="eastAsia" w:ascii="仿宋" w:hAnsi="仿宋" w:eastAsia="仿宋"/>
          <w:sz w:val="24"/>
        </w:rPr>
      </w:pPr>
      <w:r>
        <w:rPr>
          <w:rFonts w:hint="eastAsia" w:ascii="仿宋" w:hAnsi="仿宋" w:eastAsia="仿宋"/>
          <w:sz w:val="24"/>
        </w:rPr>
        <w:t>甲方：濮阳县中医医院</w:t>
      </w:r>
      <w:r>
        <w:rPr>
          <w:rFonts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乙方：</w:t>
      </w:r>
      <w:r>
        <w:rPr>
          <w:rFonts w:hint="eastAsia" w:ascii="仿宋" w:hAnsi="仿宋" w:eastAsia="仿宋"/>
          <w:sz w:val="24"/>
          <w:lang w:val="en-US" w:eastAsia="zh-CN"/>
        </w:rPr>
        <w:t xml:space="preserve"> </w:t>
      </w:r>
    </w:p>
    <w:p w14:paraId="428E7BDD">
      <w:pPr>
        <w:snapToGrid w:val="0"/>
        <w:spacing w:line="360" w:lineRule="auto"/>
        <w:ind w:left="840" w:leftChars="0" w:firstLine="420" w:firstLineChars="0"/>
        <w:rPr>
          <w:rFonts w:hint="eastAsia" w:ascii="仿宋" w:hAnsi="仿宋" w:eastAsia="仿宋"/>
          <w:color w:val="FF0000"/>
          <w:sz w:val="24"/>
        </w:rPr>
      </w:pP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ab/>
      </w:r>
      <w:r>
        <w:rPr>
          <w:rFonts w:hint="eastAsia" w:ascii="仿宋" w:hAnsi="仿宋" w:eastAsia="仿宋"/>
          <w:sz w:val="24"/>
          <w:lang w:val="en-US" w:eastAsia="zh-CN"/>
        </w:rPr>
        <w:t xml:space="preserve">   </w:t>
      </w:r>
    </w:p>
    <w:p w14:paraId="3F5BF132">
      <w:pPr>
        <w:snapToGrid w:val="0"/>
        <w:spacing w:line="360" w:lineRule="auto"/>
        <w:rPr>
          <w:rFonts w:hint="eastAsia" w:ascii="仿宋" w:hAnsi="仿宋" w:eastAsia="仿宋"/>
          <w:color w:val="FF0000"/>
          <w:sz w:val="24"/>
        </w:rPr>
      </w:pPr>
      <w:r>
        <w:rPr>
          <w:rFonts w:hint="eastAsia" w:ascii="仿宋" w:hAnsi="仿宋" w:eastAsia="仿宋"/>
          <w:sz w:val="24"/>
        </w:rPr>
        <w:t>代表人：</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ascii="仿宋" w:hAnsi="仿宋" w:eastAsia="仿宋"/>
          <w:sz w:val="24"/>
        </w:rPr>
        <w:t xml:space="preserve">         </w:t>
      </w:r>
      <w:r>
        <w:rPr>
          <w:rFonts w:hint="eastAsia" w:ascii="仿宋" w:hAnsi="仿宋" w:eastAsia="仿宋"/>
          <w:sz w:val="24"/>
        </w:rPr>
        <w:t>代表人：</w:t>
      </w:r>
    </w:p>
    <w:p w14:paraId="5E602C5E">
      <w:pPr>
        <w:snapToGrid w:val="0"/>
        <w:spacing w:line="360" w:lineRule="auto"/>
        <w:ind w:firstLine="4080" w:firstLineChars="1700"/>
        <w:rPr>
          <w:rFonts w:hint="eastAsia" w:ascii="仿宋" w:hAnsi="仿宋" w:eastAsia="仿宋"/>
          <w:sz w:val="24"/>
        </w:rPr>
      </w:pPr>
      <w:r>
        <w:rPr>
          <w:rFonts w:hint="eastAsia" w:ascii="仿宋" w:hAnsi="仿宋" w:eastAsia="仿宋"/>
          <w:sz w:val="24"/>
        </w:rPr>
        <w:t>联系电话：</w:t>
      </w:r>
    </w:p>
    <w:p w14:paraId="36676301">
      <w:pPr>
        <w:snapToGrid w:val="0"/>
        <w:spacing w:line="360" w:lineRule="auto"/>
        <w:rPr>
          <w:rFonts w:ascii="仿宋" w:hAnsi="仿宋" w:eastAsia="仿宋"/>
          <w:sz w:val="24"/>
        </w:rPr>
      </w:pPr>
      <w:r>
        <w:rPr>
          <w:rFonts w:hint="eastAsia" w:ascii="仿宋" w:hAnsi="仿宋" w:eastAsia="仿宋"/>
          <w:sz w:val="24"/>
        </w:rPr>
        <w:t xml:space="preserve">公章： </w:t>
      </w:r>
      <w:r>
        <w:rPr>
          <w:rFonts w:ascii="仿宋" w:hAnsi="仿宋" w:eastAsia="仿宋"/>
          <w:sz w:val="24"/>
        </w:rPr>
        <w:t xml:space="preserve">                           公章</w:t>
      </w:r>
      <w:r>
        <w:rPr>
          <w:rFonts w:hint="eastAsia" w:ascii="仿宋" w:hAnsi="仿宋" w:eastAsia="仿宋"/>
          <w:sz w:val="24"/>
        </w:rPr>
        <w:t>：</w:t>
      </w:r>
    </w:p>
    <w:p w14:paraId="55BB4C7A">
      <w:pPr>
        <w:snapToGrid w:val="0"/>
        <w:spacing w:line="360" w:lineRule="auto"/>
        <w:jc w:val="right"/>
        <w:rPr>
          <w:rFonts w:hint="eastAsia"/>
        </w:rPr>
      </w:pPr>
      <w:r>
        <w:rPr>
          <w:rFonts w:hint="eastAsia" w:ascii="仿宋" w:hAnsi="仿宋" w:eastAsia="仿宋"/>
          <w:color w:val="FF0000"/>
          <w:sz w:val="24"/>
        </w:rPr>
        <w:t>年 月  日</w:t>
      </w:r>
    </w:p>
    <w:p w14:paraId="0156CF8E">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名、职务）为公司的合法代理人，负责此次濮阳县中医医院骨伤科设备采购项目招标活动中提交投标文件、确认投标（议价）相关信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02</w:t>
      </w:r>
      <w:r>
        <w:rPr>
          <w:rFonts w:hint="eastAsia" w:ascii="仿宋" w:hAnsi="仿宋" w:eastAsia="仿宋" w:cs="仿宋"/>
          <w:b/>
          <w:sz w:val="30"/>
          <w:szCs w:val="30"/>
        </w:rPr>
        <w:t>)</w:t>
      </w:r>
    </w:p>
    <w:p w14:paraId="0113200A">
      <w:pPr>
        <w:spacing w:line="360" w:lineRule="auto"/>
        <w:rPr>
          <w:rFonts w:hint="eastAsia" w:ascii="仿宋" w:hAnsi="仿宋" w:eastAsia="仿宋" w:cs="Times New Roman"/>
          <w:bCs/>
          <w:sz w:val="32"/>
          <w:szCs w:val="32"/>
        </w:rPr>
      </w:pPr>
      <w:r>
        <w:rPr>
          <w:rFonts w:hint="eastAsia" w:ascii="仿宋" w:hAnsi="仿宋" w:eastAsia="仿宋"/>
          <w:bCs/>
          <w:sz w:val="32"/>
          <w:szCs w:val="32"/>
        </w:rPr>
        <w:t>投标</w:t>
      </w:r>
      <w:r>
        <w:rPr>
          <w:rFonts w:hint="eastAsia" w:ascii="仿宋" w:hAnsi="仿宋" w:eastAsia="仿宋" w:cs="Times New Roman"/>
          <w:bCs/>
          <w:sz w:val="32"/>
          <w:szCs w:val="32"/>
        </w:rPr>
        <w:t>公司名称：</w:t>
      </w:r>
    </w:p>
    <w:p w14:paraId="4D74DE75">
      <w:pPr>
        <w:spacing w:line="360" w:lineRule="auto"/>
        <w:rPr>
          <w:rFonts w:hint="eastAsia" w:ascii="仿宋" w:hAnsi="仿宋" w:eastAsia="仿宋" w:cs="Times New Roman"/>
          <w:bCs/>
          <w:sz w:val="32"/>
          <w:szCs w:val="32"/>
          <w:lang w:eastAsia="zh-CN"/>
        </w:rPr>
      </w:pPr>
      <w:r>
        <w:rPr>
          <w:rFonts w:hint="eastAsia" w:ascii="仿宋" w:hAnsi="仿宋" w:eastAsia="仿宋" w:cs="Times New Roman"/>
          <w:bCs/>
          <w:sz w:val="32"/>
          <w:szCs w:val="32"/>
        </w:rPr>
        <w:t>投标项目：骨伤科设备采购项目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A97848"/>
    <w:rsid w:val="00B53560"/>
    <w:rsid w:val="00C1240C"/>
    <w:rsid w:val="00C92E18"/>
    <w:rsid w:val="00CD102A"/>
    <w:rsid w:val="00E65527"/>
    <w:rsid w:val="010340DC"/>
    <w:rsid w:val="010C178F"/>
    <w:rsid w:val="016E788C"/>
    <w:rsid w:val="01EF43B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6F5DE9"/>
    <w:rsid w:val="0C964A9E"/>
    <w:rsid w:val="0CA819EA"/>
    <w:rsid w:val="0D6C2329"/>
    <w:rsid w:val="0DAA7FCC"/>
    <w:rsid w:val="0DD50AA2"/>
    <w:rsid w:val="0E0B096E"/>
    <w:rsid w:val="0E152333"/>
    <w:rsid w:val="0EE005CF"/>
    <w:rsid w:val="0EF102FA"/>
    <w:rsid w:val="0F924FA1"/>
    <w:rsid w:val="0F9D0508"/>
    <w:rsid w:val="0FB14214"/>
    <w:rsid w:val="10AA4305"/>
    <w:rsid w:val="10FC5DB6"/>
    <w:rsid w:val="11002148"/>
    <w:rsid w:val="124B4C03"/>
    <w:rsid w:val="13FC014E"/>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641B27"/>
    <w:rsid w:val="1B8A2A9B"/>
    <w:rsid w:val="1BB623EF"/>
    <w:rsid w:val="1C265140"/>
    <w:rsid w:val="1CCC05C2"/>
    <w:rsid w:val="1CE66C3A"/>
    <w:rsid w:val="1CEE1194"/>
    <w:rsid w:val="1DD8143A"/>
    <w:rsid w:val="1E2116CA"/>
    <w:rsid w:val="1F1229B2"/>
    <w:rsid w:val="1F2F056C"/>
    <w:rsid w:val="1F7D33C5"/>
    <w:rsid w:val="20393B72"/>
    <w:rsid w:val="20420482"/>
    <w:rsid w:val="210B711D"/>
    <w:rsid w:val="21C57E64"/>
    <w:rsid w:val="22F521C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0F2B13"/>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697C9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B561D9F"/>
    <w:rsid w:val="3C385A9B"/>
    <w:rsid w:val="3C67562A"/>
    <w:rsid w:val="3CA20145"/>
    <w:rsid w:val="3CBC05DB"/>
    <w:rsid w:val="3DA31CF5"/>
    <w:rsid w:val="3E1F1F13"/>
    <w:rsid w:val="3EB017C6"/>
    <w:rsid w:val="3EB501EE"/>
    <w:rsid w:val="3F097DC4"/>
    <w:rsid w:val="3F384603"/>
    <w:rsid w:val="3FB61101"/>
    <w:rsid w:val="40053D34"/>
    <w:rsid w:val="40324FFF"/>
    <w:rsid w:val="409D0FEC"/>
    <w:rsid w:val="40DE1933"/>
    <w:rsid w:val="41625835"/>
    <w:rsid w:val="41990073"/>
    <w:rsid w:val="41A12EF2"/>
    <w:rsid w:val="41F07429"/>
    <w:rsid w:val="42C978AB"/>
    <w:rsid w:val="42F86263"/>
    <w:rsid w:val="43022C1D"/>
    <w:rsid w:val="43063BDE"/>
    <w:rsid w:val="434F700E"/>
    <w:rsid w:val="436937A4"/>
    <w:rsid w:val="4373509E"/>
    <w:rsid w:val="43766329"/>
    <w:rsid w:val="43A85705"/>
    <w:rsid w:val="43B531E0"/>
    <w:rsid w:val="442E36C4"/>
    <w:rsid w:val="44B20DFF"/>
    <w:rsid w:val="44F00FAB"/>
    <w:rsid w:val="45405FF1"/>
    <w:rsid w:val="45CD50F0"/>
    <w:rsid w:val="45F14251"/>
    <w:rsid w:val="46397839"/>
    <w:rsid w:val="4640158D"/>
    <w:rsid w:val="4646752A"/>
    <w:rsid w:val="46533B8B"/>
    <w:rsid w:val="468509BB"/>
    <w:rsid w:val="46BA13B3"/>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5C5851"/>
    <w:rsid w:val="65FC7EA8"/>
    <w:rsid w:val="6614142D"/>
    <w:rsid w:val="663366B5"/>
    <w:rsid w:val="66AB633F"/>
    <w:rsid w:val="66C61F6F"/>
    <w:rsid w:val="67A63462"/>
    <w:rsid w:val="67B053E9"/>
    <w:rsid w:val="67D41112"/>
    <w:rsid w:val="67EB1E5A"/>
    <w:rsid w:val="68186C2F"/>
    <w:rsid w:val="682300DA"/>
    <w:rsid w:val="685A617B"/>
    <w:rsid w:val="686A22FC"/>
    <w:rsid w:val="68A818F4"/>
    <w:rsid w:val="692D4505"/>
    <w:rsid w:val="694E6F19"/>
    <w:rsid w:val="6A82748B"/>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4082D"/>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9681</Words>
  <Characters>10293</Characters>
  <Lines>74</Lines>
  <Paragraphs>21</Paragraphs>
  <TotalTime>11</TotalTime>
  <ScaleCrop>false</ScaleCrop>
  <LinksUpToDate>false</LinksUpToDate>
  <CharactersWithSpaces>13561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2026-02-03T01:14:00Z</cp:lastPrinted>
  <dcterms:modified xsi:type="dcterms:W3CDTF">2026-03-12T01:55:01Z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586EE66E88A547AFA390A3668D22FCCA_13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