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2"/>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2"/>
        <w:jc w:val="center"/>
        <w:rPr>
          <w:rFonts w:hint="eastAsia" w:ascii="宋体" w:hAnsi="宋体"/>
          <w:b/>
          <w:sz w:val="48"/>
          <w:szCs w:val="48"/>
        </w:rPr>
      </w:pPr>
    </w:p>
    <w:p w14:paraId="698CE49C">
      <w:pPr>
        <w:pStyle w:val="2"/>
        <w:jc w:val="center"/>
      </w:pPr>
      <w:r>
        <w:rPr>
          <w:rFonts w:hint="eastAsia" w:ascii="宋体" w:hAnsi="宋体"/>
          <w:b/>
          <w:sz w:val="48"/>
          <w:szCs w:val="48"/>
        </w:rPr>
        <w:t>濮阳县中医医院</w:t>
      </w:r>
    </w:p>
    <w:p w14:paraId="03A9F380">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老院区煎药房改造项目</w:t>
      </w:r>
    </w:p>
    <w:p w14:paraId="5CC3909E">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28（二次）</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11</w:t>
      </w:r>
      <w:r>
        <w:rPr>
          <w:rFonts w:hint="eastAsia" w:ascii="宋体" w:hAnsi="宋体"/>
          <w:b/>
          <w:sz w:val="36"/>
          <w:szCs w:val="36"/>
        </w:rPr>
        <w:t>月</w:t>
      </w:r>
    </w:p>
    <w:p w14:paraId="705113C0">
      <w:pPr>
        <w:pStyle w:val="2"/>
      </w:pPr>
    </w:p>
    <w:p w14:paraId="716FA395">
      <w:pPr>
        <w:pStyle w:val="2"/>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濮阳县中医医院老院区煎药房改造项目</w:t>
      </w:r>
    </w:p>
    <w:p w14:paraId="322FDDC3">
      <w:pPr>
        <w:pStyle w:val="17"/>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28（二次）</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地点</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濮阳县中医医院老院区煎药房改造项目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老院区煎药房</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1.1855</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19</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19</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512B5DB2">
      <w:pPr>
        <w:pStyle w:val="6"/>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default" w:ascii="仿宋" w:hAnsi="仿宋" w:eastAsia="仿宋"/>
                <w:lang w:val="en-US" w:eastAsia="zh-CN"/>
              </w:rPr>
            </w:pPr>
            <w:r>
              <w:rPr>
                <w:rFonts w:hint="eastAsia" w:ascii="仿宋" w:hAnsi="仿宋" w:eastAsia="仿宋"/>
              </w:rPr>
              <w:t>项目名称</w:t>
            </w:r>
            <w:r>
              <w:rPr>
                <w:rFonts w:hint="eastAsia" w:ascii="仿宋" w:hAnsi="仿宋" w:eastAsia="仿宋" w:cs="Times New Roman"/>
              </w:rPr>
              <w:t>：</w:t>
            </w:r>
            <w:r>
              <w:rPr>
                <w:rFonts w:hint="eastAsia" w:ascii="仿宋" w:hAnsi="仿宋" w:eastAsia="仿宋" w:cs="Times New Roman"/>
                <w:lang w:val="en-US" w:eastAsia="zh-CN"/>
              </w:rPr>
              <w:t>老院区煎药房改造项目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28（二次）</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19</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19</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11855</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验收合格后一次性付清。</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工期</w:t>
            </w:r>
            <w:r>
              <w:rPr>
                <w:rFonts w:hint="eastAsia" w:ascii="仿宋" w:hAnsi="仿宋" w:eastAsia="仿宋"/>
                <w:color w:val="FF0000"/>
                <w:sz w:val="24"/>
              </w:rPr>
              <w:t>：</w:t>
            </w:r>
            <w:r>
              <w:rPr>
                <w:rFonts w:hint="eastAsia" w:ascii="仿宋" w:hAnsi="仿宋" w:eastAsia="仿宋"/>
                <w:color w:val="FF0000"/>
                <w:sz w:val="24"/>
                <w:lang w:val="en-US" w:eastAsia="zh-CN"/>
              </w:rPr>
              <w:t>10天。</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35E8BC2A">
      <w:pPr>
        <w:pStyle w:val="19"/>
        <w:ind w:left="0" w:leftChars="0" w:firstLine="640" w:firstLineChars="200"/>
        <w:rPr>
          <w:rFonts w:hint="eastAsia"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服从甲方现场人员管理，做好安全防护，对老院区</w:t>
      </w:r>
      <w:r>
        <w:rPr>
          <w:rFonts w:hint="eastAsia" w:cs="Times New Roman"/>
          <w:b w:val="0"/>
          <w:bCs/>
          <w:kern w:val="2"/>
          <w:sz w:val="32"/>
          <w:szCs w:val="32"/>
          <w:lang w:val="en-US" w:eastAsia="zh-CN" w:bidi="ar-SA"/>
        </w:rPr>
        <w:t>煎药房进行</w:t>
      </w:r>
      <w:r>
        <w:rPr>
          <w:rFonts w:hint="eastAsia" w:ascii="Times New Roman" w:hAnsi="Times New Roman" w:eastAsia="宋体" w:cs="Times New Roman"/>
          <w:b w:val="0"/>
          <w:bCs/>
          <w:kern w:val="2"/>
          <w:sz w:val="32"/>
          <w:szCs w:val="32"/>
          <w:lang w:val="en-US" w:eastAsia="zh-CN" w:bidi="ar-SA"/>
        </w:rPr>
        <w:t>改造</w:t>
      </w:r>
      <w:r>
        <w:rPr>
          <w:rFonts w:hint="eastAsia" w:cs="Times New Roman"/>
          <w:b w:val="0"/>
          <w:bCs/>
          <w:kern w:val="2"/>
          <w:sz w:val="32"/>
          <w:szCs w:val="32"/>
          <w:lang w:val="en-US" w:eastAsia="zh-CN" w:bidi="ar-SA"/>
        </w:rPr>
        <w:t>。</w:t>
      </w:r>
    </w:p>
    <w:p w14:paraId="7FCAE4DD">
      <w:pPr>
        <w:pStyle w:val="6"/>
        <w:ind w:left="0" w:leftChars="0" w:firstLine="0" w:firstLineChars="0"/>
        <w:rPr>
          <w:rFonts w:hint="eastAsia" w:cs="Times New Roman"/>
          <w:b w:val="0"/>
          <w:bCs/>
          <w:kern w:val="2"/>
          <w:sz w:val="32"/>
          <w:szCs w:val="32"/>
          <w:lang w:val="en-US" w:eastAsia="zh-CN" w:bidi="ar-SA"/>
        </w:rPr>
      </w:pPr>
      <w:r>
        <w:rPr>
          <w:rFonts w:hint="eastAsia" w:cs="Times New Roman"/>
          <w:b/>
          <w:bCs w:val="0"/>
          <w:kern w:val="2"/>
          <w:sz w:val="32"/>
          <w:szCs w:val="32"/>
          <w:lang w:val="en-US" w:eastAsia="zh-CN" w:bidi="ar-SA"/>
        </w:rPr>
        <w:t>位置</w:t>
      </w:r>
      <w:r>
        <w:rPr>
          <w:rFonts w:hint="eastAsia" w:cs="Times New Roman"/>
          <w:b w:val="0"/>
          <w:bCs/>
          <w:kern w:val="2"/>
          <w:sz w:val="32"/>
          <w:szCs w:val="32"/>
          <w:lang w:val="en-US" w:eastAsia="zh-CN" w:bidi="ar-SA"/>
        </w:rPr>
        <w:t>：老院区煎药房。</w:t>
      </w:r>
    </w:p>
    <w:p w14:paraId="685DA92D">
      <w:pPr>
        <w:pStyle w:val="19"/>
        <w:ind w:left="0" w:leftChars="0" w:firstLine="0" w:firstLineChars="0"/>
        <w:rPr>
          <w:rFonts w:hint="eastAsia" w:ascii="Times New Roman" w:hAnsi="Times New Roman" w:eastAsia="宋体" w:cs="Times New Roman"/>
          <w:b/>
          <w:bCs w:val="0"/>
          <w:kern w:val="2"/>
          <w:sz w:val="32"/>
          <w:szCs w:val="32"/>
          <w:lang w:val="en-US" w:eastAsia="zh-CN" w:bidi="ar-SA"/>
        </w:rPr>
      </w:pPr>
      <w:r>
        <w:rPr>
          <w:rFonts w:hint="eastAsia" w:ascii="Times New Roman" w:hAnsi="Times New Roman" w:eastAsia="宋体" w:cs="Times New Roman"/>
          <w:b/>
          <w:bCs w:val="0"/>
          <w:kern w:val="2"/>
          <w:sz w:val="32"/>
          <w:szCs w:val="32"/>
          <w:lang w:val="en-US" w:eastAsia="zh-CN" w:bidi="ar-SA"/>
        </w:rPr>
        <w:t>具体施工内容：</w:t>
      </w:r>
    </w:p>
    <w:p w14:paraId="3329DC43">
      <w:pPr>
        <w:pStyle w:val="6"/>
        <w:numPr>
          <w:ilvl w:val="0"/>
          <w:numId w:val="2"/>
        </w:numPr>
        <w:rPr>
          <w:rFonts w:hint="eastAsia"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墙面铺设扣板。</w:t>
      </w:r>
    </w:p>
    <w:p w14:paraId="6658702F">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对地板进行地板砖铺设。</w:t>
      </w:r>
    </w:p>
    <w:p w14:paraId="3296D925">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进行踢脚线粘贴。</w:t>
      </w:r>
    </w:p>
    <w:p w14:paraId="15EE83B4">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对水电线路进行改造。</w:t>
      </w:r>
    </w:p>
    <w:p w14:paraId="6FA33FF9">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对外墙进行粉刷墙漆。</w:t>
      </w:r>
    </w:p>
    <w:p w14:paraId="5F66546B">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施工所用所有产品</w:t>
      </w:r>
      <w:r>
        <w:rPr>
          <w:rFonts w:hint="eastAsia" w:ascii="Times New Roman" w:hAnsi="Times New Roman" w:cs="Times New Roman"/>
          <w:b w:val="0"/>
          <w:bCs/>
          <w:kern w:val="2"/>
          <w:sz w:val="32"/>
          <w:szCs w:val="32"/>
          <w:lang w:val="en-US" w:eastAsia="zh-CN" w:bidi="ar-SA"/>
        </w:rPr>
        <w:t>需</w:t>
      </w:r>
      <w:r>
        <w:rPr>
          <w:rFonts w:hint="eastAsia" w:ascii="Times New Roman" w:hAnsi="Times New Roman" w:eastAsia="宋体" w:cs="Times New Roman"/>
          <w:b w:val="0"/>
          <w:bCs/>
          <w:kern w:val="2"/>
          <w:sz w:val="32"/>
          <w:szCs w:val="32"/>
          <w:lang w:val="en-US" w:eastAsia="zh-CN" w:bidi="ar-SA"/>
        </w:rPr>
        <w:t>具有产品合格证书。</w:t>
      </w:r>
    </w:p>
    <w:p w14:paraId="7628684A">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建筑垃圾倒运及外运弃土场由乙方自行解决等。</w:t>
      </w:r>
    </w:p>
    <w:p w14:paraId="3C38DFFE">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做好现场成品保护，按室内装饰装修规范进行施工等。</w:t>
      </w:r>
    </w:p>
    <w:p w14:paraId="165EF662">
      <w:pPr>
        <w:pStyle w:val="6"/>
        <w:numPr>
          <w:ilvl w:val="0"/>
          <w:numId w:val="0"/>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bCs w:val="0"/>
          <w:kern w:val="2"/>
          <w:sz w:val="32"/>
          <w:szCs w:val="32"/>
          <w:lang w:val="en-US" w:eastAsia="zh-CN" w:bidi="ar-SA"/>
        </w:rPr>
        <w:t>煎药室工程量参数：</w:t>
      </w:r>
      <w:r>
        <w:rPr>
          <w:rFonts w:hint="eastAsia" w:ascii="Times New Roman" w:hAnsi="Times New Roman" w:eastAsia="宋体" w:cs="Times New Roman"/>
          <w:b w:val="0"/>
          <w:bCs/>
          <w:kern w:val="2"/>
          <w:sz w:val="32"/>
          <w:szCs w:val="32"/>
          <w:lang w:val="en-US" w:eastAsia="zh-CN" w:bidi="ar-SA"/>
        </w:rPr>
        <w:br w:type="textWrapping"/>
      </w:r>
    </w:p>
    <w:tbl>
      <w:tblPr>
        <w:tblStyle w:val="42"/>
        <w:tblW w:w="7847"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448"/>
        <w:gridCol w:w="2418"/>
        <w:gridCol w:w="1258"/>
        <w:gridCol w:w="1903"/>
      </w:tblGrid>
      <w:tr w14:paraId="2FDC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restart"/>
            <w:tcBorders>
              <w:top w:val="single" w:color="000000" w:sz="8" w:space="0"/>
              <w:left w:val="single" w:color="000000" w:sz="8" w:space="0"/>
              <w:bottom w:val="nil"/>
            </w:tcBorders>
            <w:vAlign w:val="center"/>
          </w:tcPr>
          <w:p w14:paraId="0D372CB4">
            <w:pPr>
              <w:pStyle w:val="41"/>
              <w:spacing w:before="55" w:line="232"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序号</w:t>
            </w:r>
          </w:p>
        </w:tc>
        <w:tc>
          <w:tcPr>
            <w:tcW w:w="1448" w:type="dxa"/>
            <w:vMerge w:val="restart"/>
            <w:tcBorders>
              <w:top w:val="single" w:color="000000" w:sz="2" w:space="0"/>
              <w:bottom w:val="nil"/>
            </w:tcBorders>
            <w:vAlign w:val="center"/>
          </w:tcPr>
          <w:p w14:paraId="14CDD2BD">
            <w:pPr>
              <w:pStyle w:val="41"/>
              <w:spacing w:before="56" w:line="231"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项目名称</w:t>
            </w:r>
          </w:p>
        </w:tc>
        <w:tc>
          <w:tcPr>
            <w:tcW w:w="2418" w:type="dxa"/>
            <w:vMerge w:val="restart"/>
            <w:tcBorders>
              <w:top w:val="single" w:color="000000" w:sz="8" w:space="0"/>
              <w:bottom w:val="nil"/>
            </w:tcBorders>
            <w:vAlign w:val="center"/>
          </w:tcPr>
          <w:p w14:paraId="07542C9E">
            <w:pPr>
              <w:pStyle w:val="41"/>
              <w:spacing w:before="55" w:line="230"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项目特征描述</w:t>
            </w:r>
          </w:p>
        </w:tc>
        <w:tc>
          <w:tcPr>
            <w:tcW w:w="1258" w:type="dxa"/>
            <w:vMerge w:val="restart"/>
            <w:tcBorders>
              <w:top w:val="single" w:color="000000" w:sz="2" w:space="0"/>
              <w:bottom w:val="nil"/>
            </w:tcBorders>
            <w:vAlign w:val="center"/>
          </w:tcPr>
          <w:p w14:paraId="675B1BB8">
            <w:pPr>
              <w:pStyle w:val="41"/>
              <w:spacing w:before="286" w:line="214" w:lineRule="auto"/>
              <w:ind w:right="79"/>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计量单位</w:t>
            </w:r>
          </w:p>
        </w:tc>
        <w:tc>
          <w:tcPr>
            <w:tcW w:w="1903" w:type="dxa"/>
            <w:vMerge w:val="restart"/>
            <w:tcBorders>
              <w:top w:val="single" w:color="000000" w:sz="2" w:space="0"/>
              <w:bottom w:val="nil"/>
            </w:tcBorders>
            <w:vAlign w:val="center"/>
          </w:tcPr>
          <w:p w14:paraId="06812AD3">
            <w:pPr>
              <w:pStyle w:val="41"/>
              <w:spacing w:before="56" w:line="231"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工程量</w:t>
            </w:r>
          </w:p>
        </w:tc>
      </w:tr>
      <w:tr w14:paraId="6384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continue"/>
            <w:tcBorders>
              <w:top w:val="nil"/>
              <w:left w:val="single" w:color="000000" w:sz="8" w:space="0"/>
              <w:bottom w:val="nil"/>
            </w:tcBorders>
            <w:vAlign w:val="top"/>
          </w:tcPr>
          <w:p w14:paraId="1524EEBB">
            <w:pPr>
              <w:rPr>
                <w:rFonts w:ascii="Arial"/>
                <w:sz w:val="21"/>
              </w:rPr>
            </w:pPr>
          </w:p>
        </w:tc>
        <w:tc>
          <w:tcPr>
            <w:tcW w:w="1448" w:type="dxa"/>
            <w:vMerge w:val="continue"/>
            <w:tcBorders>
              <w:top w:val="nil"/>
              <w:bottom w:val="nil"/>
            </w:tcBorders>
            <w:vAlign w:val="top"/>
          </w:tcPr>
          <w:p w14:paraId="014C6856">
            <w:pPr>
              <w:rPr>
                <w:rFonts w:ascii="Arial"/>
                <w:sz w:val="21"/>
              </w:rPr>
            </w:pPr>
          </w:p>
        </w:tc>
        <w:tc>
          <w:tcPr>
            <w:tcW w:w="2418" w:type="dxa"/>
            <w:vMerge w:val="continue"/>
            <w:tcBorders>
              <w:top w:val="nil"/>
              <w:bottom w:val="nil"/>
            </w:tcBorders>
            <w:vAlign w:val="top"/>
          </w:tcPr>
          <w:p w14:paraId="6242ADC5">
            <w:pPr>
              <w:rPr>
                <w:rFonts w:ascii="Arial"/>
                <w:sz w:val="21"/>
              </w:rPr>
            </w:pPr>
          </w:p>
        </w:tc>
        <w:tc>
          <w:tcPr>
            <w:tcW w:w="1258" w:type="dxa"/>
            <w:vMerge w:val="continue"/>
            <w:tcBorders>
              <w:top w:val="nil"/>
              <w:bottom w:val="nil"/>
            </w:tcBorders>
            <w:vAlign w:val="top"/>
          </w:tcPr>
          <w:p w14:paraId="0BFA3B10">
            <w:pPr>
              <w:rPr>
                <w:rFonts w:ascii="Arial"/>
                <w:sz w:val="21"/>
              </w:rPr>
            </w:pPr>
          </w:p>
        </w:tc>
        <w:tc>
          <w:tcPr>
            <w:tcW w:w="1903" w:type="dxa"/>
            <w:vMerge w:val="continue"/>
            <w:tcBorders>
              <w:top w:val="nil"/>
              <w:bottom w:val="nil"/>
            </w:tcBorders>
            <w:vAlign w:val="top"/>
          </w:tcPr>
          <w:p w14:paraId="2300B5F4">
            <w:pPr>
              <w:rPr>
                <w:rFonts w:ascii="Arial"/>
                <w:sz w:val="21"/>
              </w:rPr>
            </w:pPr>
          </w:p>
        </w:tc>
      </w:tr>
      <w:tr w14:paraId="7697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continue"/>
            <w:tcBorders>
              <w:top w:val="nil"/>
              <w:left w:val="single" w:color="000000" w:sz="8" w:space="0"/>
            </w:tcBorders>
            <w:vAlign w:val="top"/>
          </w:tcPr>
          <w:p w14:paraId="427614BE">
            <w:pPr>
              <w:rPr>
                <w:rFonts w:ascii="Arial"/>
                <w:sz w:val="21"/>
              </w:rPr>
            </w:pPr>
          </w:p>
        </w:tc>
        <w:tc>
          <w:tcPr>
            <w:tcW w:w="1448" w:type="dxa"/>
            <w:vMerge w:val="continue"/>
            <w:tcBorders>
              <w:top w:val="nil"/>
            </w:tcBorders>
            <w:vAlign w:val="top"/>
          </w:tcPr>
          <w:p w14:paraId="72F0BAED">
            <w:pPr>
              <w:rPr>
                <w:rFonts w:ascii="Arial"/>
                <w:sz w:val="21"/>
              </w:rPr>
            </w:pPr>
          </w:p>
        </w:tc>
        <w:tc>
          <w:tcPr>
            <w:tcW w:w="2418" w:type="dxa"/>
            <w:vMerge w:val="continue"/>
            <w:tcBorders>
              <w:top w:val="nil"/>
            </w:tcBorders>
            <w:vAlign w:val="top"/>
          </w:tcPr>
          <w:p w14:paraId="6D9B3453">
            <w:pPr>
              <w:rPr>
                <w:rFonts w:ascii="Arial"/>
                <w:sz w:val="21"/>
              </w:rPr>
            </w:pPr>
          </w:p>
        </w:tc>
        <w:tc>
          <w:tcPr>
            <w:tcW w:w="1258" w:type="dxa"/>
            <w:vMerge w:val="continue"/>
            <w:tcBorders>
              <w:top w:val="nil"/>
            </w:tcBorders>
            <w:vAlign w:val="top"/>
          </w:tcPr>
          <w:p w14:paraId="707A4EF4">
            <w:pPr>
              <w:rPr>
                <w:rFonts w:ascii="Arial"/>
                <w:sz w:val="21"/>
              </w:rPr>
            </w:pPr>
          </w:p>
        </w:tc>
        <w:tc>
          <w:tcPr>
            <w:tcW w:w="1903" w:type="dxa"/>
            <w:vMerge w:val="continue"/>
            <w:tcBorders>
              <w:top w:val="nil"/>
            </w:tcBorders>
            <w:vAlign w:val="top"/>
          </w:tcPr>
          <w:p w14:paraId="6EEB5BBB">
            <w:pPr>
              <w:rPr>
                <w:rFonts w:ascii="Arial"/>
                <w:sz w:val="21"/>
              </w:rPr>
            </w:pPr>
          </w:p>
        </w:tc>
      </w:tr>
      <w:tr w14:paraId="2981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820" w:type="dxa"/>
            <w:tcBorders>
              <w:left w:val="single" w:color="000000" w:sz="8" w:space="0"/>
            </w:tcBorders>
            <w:vAlign w:val="center"/>
          </w:tcPr>
          <w:p w14:paraId="760BC0F8">
            <w:pPr>
              <w:pStyle w:val="41"/>
              <w:spacing w:before="56" w:line="189" w:lineRule="auto"/>
              <w:jc w:val="center"/>
              <w:rPr>
                <w:rFonts w:hint="eastAsia" w:eastAsia="宋体"/>
                <w:sz w:val="21"/>
                <w:szCs w:val="21"/>
                <w:lang w:val="en-US" w:eastAsia="zh-CN"/>
              </w:rPr>
            </w:pPr>
            <w:r>
              <w:rPr>
                <w:rFonts w:hint="eastAsia"/>
                <w:sz w:val="21"/>
                <w:szCs w:val="21"/>
                <w:lang w:val="en-US" w:eastAsia="zh-CN"/>
              </w:rPr>
              <w:t>1</w:t>
            </w:r>
          </w:p>
        </w:tc>
        <w:tc>
          <w:tcPr>
            <w:tcW w:w="1448" w:type="dxa"/>
            <w:vAlign w:val="center"/>
          </w:tcPr>
          <w:p w14:paraId="5A71529F">
            <w:pPr>
              <w:pStyle w:val="41"/>
              <w:spacing w:before="55" w:line="230" w:lineRule="auto"/>
              <w:ind w:left="43"/>
              <w:jc w:val="center"/>
              <w:rPr>
                <w:rFonts w:hint="default" w:eastAsia="宋体"/>
                <w:sz w:val="21"/>
                <w:szCs w:val="21"/>
                <w:lang w:val="en-US" w:eastAsia="zh-CN"/>
              </w:rPr>
            </w:pPr>
            <w:r>
              <w:rPr>
                <w:rFonts w:hint="eastAsia"/>
                <w:sz w:val="21"/>
                <w:szCs w:val="21"/>
                <w:lang w:val="en-US" w:eastAsia="zh-CN"/>
              </w:rPr>
              <w:t>墙面扣板</w:t>
            </w:r>
          </w:p>
        </w:tc>
        <w:tc>
          <w:tcPr>
            <w:tcW w:w="2418" w:type="dxa"/>
            <w:vAlign w:val="top"/>
          </w:tcPr>
          <w:p w14:paraId="64939F0F">
            <w:pPr>
              <w:pStyle w:val="41"/>
              <w:spacing w:before="175" w:line="197" w:lineRule="auto"/>
              <w:ind w:left="24" w:right="24" w:firstLine="12"/>
              <w:rPr>
                <w:rFonts w:hint="default" w:eastAsia="宋体"/>
                <w:sz w:val="21"/>
                <w:szCs w:val="21"/>
                <w:lang w:val="en-US" w:eastAsia="zh-CN"/>
              </w:rPr>
            </w:pPr>
            <w:r>
              <w:rPr>
                <w:spacing w:val="5"/>
                <w:sz w:val="21"/>
                <w:szCs w:val="21"/>
              </w:rPr>
              <w:t>1.材料品种、</w:t>
            </w:r>
            <w:r>
              <w:rPr>
                <w:spacing w:val="4"/>
                <w:sz w:val="21"/>
                <w:szCs w:val="21"/>
              </w:rPr>
              <w:t xml:space="preserve"> </w:t>
            </w:r>
            <w:r>
              <w:rPr>
                <w:spacing w:val="5"/>
                <w:sz w:val="21"/>
                <w:szCs w:val="21"/>
              </w:rPr>
              <w:t>规格</w:t>
            </w:r>
            <w:r>
              <w:rPr>
                <w:spacing w:val="-43"/>
                <w:sz w:val="21"/>
                <w:szCs w:val="21"/>
              </w:rPr>
              <w:t xml:space="preserve"> </w:t>
            </w:r>
            <w:r>
              <w:rPr>
                <w:spacing w:val="5"/>
                <w:sz w:val="21"/>
                <w:szCs w:val="21"/>
              </w:rPr>
              <w:t>:</w:t>
            </w:r>
            <w:r>
              <w:rPr>
                <w:rFonts w:hint="eastAsia"/>
                <w:spacing w:val="5"/>
                <w:sz w:val="21"/>
                <w:szCs w:val="21"/>
                <w:lang w:val="en-US" w:eastAsia="zh-CN"/>
              </w:rPr>
              <w:t>竹微纤维扣板</w:t>
            </w:r>
          </w:p>
        </w:tc>
        <w:tc>
          <w:tcPr>
            <w:tcW w:w="1258" w:type="dxa"/>
            <w:vAlign w:val="center"/>
          </w:tcPr>
          <w:p w14:paraId="28CF1684">
            <w:pPr>
              <w:pStyle w:val="41"/>
              <w:spacing w:before="56" w:line="188" w:lineRule="auto"/>
              <w:jc w:val="center"/>
              <w:rPr>
                <w:rFonts w:hint="eastAsia" w:eastAsia="宋体"/>
                <w:sz w:val="21"/>
                <w:szCs w:val="21"/>
                <w:lang w:eastAsia="zh-CN"/>
              </w:rPr>
            </w:pPr>
            <w:r>
              <w:rPr>
                <w:rFonts w:hint="eastAsia"/>
                <w:spacing w:val="7"/>
                <w:sz w:val="21"/>
                <w:szCs w:val="21"/>
                <w:lang w:val="en-US" w:eastAsia="zh-CN"/>
              </w:rPr>
              <w:t>㎡</w:t>
            </w:r>
          </w:p>
        </w:tc>
        <w:tc>
          <w:tcPr>
            <w:tcW w:w="1903" w:type="dxa"/>
            <w:vAlign w:val="center"/>
          </w:tcPr>
          <w:p w14:paraId="386808A3">
            <w:pPr>
              <w:pStyle w:val="41"/>
              <w:spacing w:before="56" w:line="188" w:lineRule="auto"/>
              <w:ind w:right="10"/>
              <w:jc w:val="center"/>
              <w:rPr>
                <w:rFonts w:hint="default" w:eastAsia="宋体"/>
                <w:sz w:val="21"/>
                <w:szCs w:val="21"/>
                <w:lang w:val="en-US" w:eastAsia="zh-CN"/>
              </w:rPr>
            </w:pPr>
            <w:r>
              <w:rPr>
                <w:rFonts w:hint="eastAsia"/>
                <w:sz w:val="21"/>
                <w:szCs w:val="21"/>
                <w:lang w:val="en-US" w:eastAsia="zh-CN"/>
              </w:rPr>
              <w:t>95</w:t>
            </w:r>
          </w:p>
        </w:tc>
      </w:tr>
      <w:tr w14:paraId="3AC0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820" w:type="dxa"/>
            <w:tcBorders>
              <w:left w:val="single" w:color="000000" w:sz="8" w:space="0"/>
            </w:tcBorders>
            <w:vAlign w:val="center"/>
          </w:tcPr>
          <w:p w14:paraId="4FB7720E">
            <w:pPr>
              <w:pStyle w:val="41"/>
              <w:spacing w:before="56" w:line="189"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48" w:type="dxa"/>
            <w:vAlign w:val="center"/>
          </w:tcPr>
          <w:p w14:paraId="2744DC4D">
            <w:pPr>
              <w:pStyle w:val="41"/>
              <w:spacing w:before="55" w:line="230" w:lineRule="auto"/>
              <w:jc w:val="center"/>
              <w:rPr>
                <w:rFonts w:hint="eastAsia" w:eastAsia="宋体"/>
                <w:sz w:val="21"/>
                <w:szCs w:val="21"/>
                <w:lang w:val="en-US" w:eastAsia="zh-CN"/>
              </w:rPr>
            </w:pPr>
            <w:r>
              <w:rPr>
                <w:rFonts w:hint="eastAsia"/>
                <w:sz w:val="21"/>
                <w:szCs w:val="21"/>
                <w:lang w:val="en-US" w:eastAsia="zh-CN"/>
              </w:rPr>
              <w:t>地板砖</w:t>
            </w:r>
          </w:p>
        </w:tc>
        <w:tc>
          <w:tcPr>
            <w:tcW w:w="2418" w:type="dxa"/>
            <w:vAlign w:val="top"/>
          </w:tcPr>
          <w:p w14:paraId="49065725">
            <w:pPr>
              <w:pStyle w:val="41"/>
              <w:spacing w:before="260" w:line="204" w:lineRule="auto"/>
              <w:ind w:left="24" w:right="50" w:firstLine="12"/>
              <w:jc w:val="both"/>
              <w:rPr>
                <w:rFonts w:hint="default" w:eastAsia="宋体"/>
                <w:sz w:val="21"/>
                <w:szCs w:val="21"/>
                <w:lang w:val="en-US" w:eastAsia="zh-CN"/>
              </w:rPr>
            </w:pPr>
            <w:r>
              <w:rPr>
                <w:spacing w:val="5"/>
                <w:sz w:val="21"/>
                <w:szCs w:val="21"/>
              </w:rPr>
              <w:t>1.</w:t>
            </w:r>
            <w:r>
              <w:rPr>
                <w:rFonts w:hint="eastAsia"/>
                <w:spacing w:val="5"/>
                <w:sz w:val="21"/>
                <w:szCs w:val="21"/>
                <w:lang w:val="en-US" w:eastAsia="zh-CN"/>
              </w:rPr>
              <w:t>材料</w:t>
            </w:r>
            <w:r>
              <w:rPr>
                <w:spacing w:val="5"/>
                <w:sz w:val="21"/>
                <w:szCs w:val="21"/>
              </w:rPr>
              <w:t>规格</w:t>
            </w:r>
            <w:r>
              <w:rPr>
                <w:spacing w:val="-48"/>
                <w:sz w:val="21"/>
                <w:szCs w:val="21"/>
              </w:rPr>
              <w:t xml:space="preserve"> </w:t>
            </w:r>
            <w:r>
              <w:rPr>
                <w:spacing w:val="5"/>
                <w:sz w:val="21"/>
                <w:szCs w:val="21"/>
              </w:rPr>
              <w:t>:</w:t>
            </w:r>
            <w:r>
              <w:rPr>
                <w:rFonts w:hint="eastAsia"/>
                <w:spacing w:val="5"/>
                <w:sz w:val="21"/>
                <w:szCs w:val="21"/>
                <w:lang w:val="en-US" w:eastAsia="zh-CN"/>
              </w:rPr>
              <w:t>全瓷800mm*800mm</w:t>
            </w:r>
          </w:p>
        </w:tc>
        <w:tc>
          <w:tcPr>
            <w:tcW w:w="1258" w:type="dxa"/>
            <w:vAlign w:val="center"/>
          </w:tcPr>
          <w:p w14:paraId="688A0E88">
            <w:pPr>
              <w:pStyle w:val="41"/>
              <w:spacing w:before="56" w:line="188" w:lineRule="auto"/>
              <w:jc w:val="center"/>
              <w:rPr>
                <w:rFonts w:hint="eastAsia" w:ascii="宋体" w:hAnsi="宋体" w:eastAsia="宋体" w:cs="宋体"/>
                <w:spacing w:val="7"/>
                <w:sz w:val="21"/>
                <w:szCs w:val="21"/>
                <w:lang w:val="en-US" w:eastAsia="zh-CN"/>
              </w:rPr>
            </w:pPr>
            <w:r>
              <w:rPr>
                <w:rFonts w:hint="eastAsia"/>
                <w:spacing w:val="7"/>
                <w:sz w:val="21"/>
                <w:szCs w:val="21"/>
                <w:lang w:val="en-US" w:eastAsia="zh-CN"/>
              </w:rPr>
              <w:t>㎡</w:t>
            </w:r>
          </w:p>
        </w:tc>
        <w:tc>
          <w:tcPr>
            <w:tcW w:w="1903" w:type="dxa"/>
            <w:vAlign w:val="center"/>
          </w:tcPr>
          <w:p w14:paraId="0BD26725">
            <w:pPr>
              <w:pStyle w:val="41"/>
              <w:spacing w:before="56" w:line="189" w:lineRule="auto"/>
              <w:ind w:right="10"/>
              <w:jc w:val="center"/>
              <w:rPr>
                <w:rFonts w:hint="default" w:eastAsia="宋体"/>
                <w:sz w:val="21"/>
                <w:szCs w:val="21"/>
                <w:lang w:val="en-US" w:eastAsia="zh-CN"/>
              </w:rPr>
            </w:pPr>
            <w:r>
              <w:rPr>
                <w:rFonts w:hint="eastAsia"/>
                <w:sz w:val="21"/>
                <w:szCs w:val="21"/>
                <w:lang w:val="en-US" w:eastAsia="zh-CN"/>
              </w:rPr>
              <w:t>28</w:t>
            </w:r>
          </w:p>
        </w:tc>
      </w:tr>
      <w:tr w14:paraId="115C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20" w:type="dxa"/>
            <w:tcBorders>
              <w:left w:val="single" w:color="000000" w:sz="8" w:space="0"/>
            </w:tcBorders>
            <w:vAlign w:val="center"/>
          </w:tcPr>
          <w:p w14:paraId="3BB7E1F7">
            <w:pPr>
              <w:pStyle w:val="41"/>
              <w:spacing w:before="56" w:line="18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48" w:type="dxa"/>
            <w:vAlign w:val="center"/>
          </w:tcPr>
          <w:p w14:paraId="4DAD1AB5">
            <w:pPr>
              <w:pStyle w:val="41"/>
              <w:spacing w:before="56" w:line="230" w:lineRule="auto"/>
              <w:ind w:left="22"/>
              <w:jc w:val="center"/>
              <w:rPr>
                <w:rFonts w:hint="eastAsia" w:eastAsia="宋体"/>
                <w:sz w:val="21"/>
                <w:szCs w:val="21"/>
                <w:lang w:eastAsia="zh-CN"/>
              </w:rPr>
            </w:pPr>
            <w:r>
              <w:rPr>
                <w:rFonts w:hint="eastAsia"/>
                <w:spacing w:val="8"/>
                <w:sz w:val="21"/>
                <w:szCs w:val="21"/>
                <w:lang w:val="en-US" w:eastAsia="zh-CN"/>
              </w:rPr>
              <w:t>踢脚线</w:t>
            </w:r>
          </w:p>
        </w:tc>
        <w:tc>
          <w:tcPr>
            <w:tcW w:w="2418" w:type="dxa"/>
            <w:vAlign w:val="center"/>
          </w:tcPr>
          <w:p w14:paraId="3CBF36E0">
            <w:pPr>
              <w:pStyle w:val="41"/>
              <w:spacing w:before="290" w:line="202" w:lineRule="auto"/>
              <w:ind w:right="19"/>
              <w:jc w:val="center"/>
              <w:rPr>
                <w:rFonts w:hint="default" w:eastAsia="宋体"/>
                <w:sz w:val="21"/>
                <w:szCs w:val="21"/>
                <w:lang w:val="en-US" w:eastAsia="zh-CN"/>
              </w:rPr>
            </w:pPr>
            <w:r>
              <w:rPr>
                <w:rFonts w:hint="eastAsia"/>
                <w:sz w:val="21"/>
                <w:szCs w:val="21"/>
                <w:lang w:val="en-US" w:eastAsia="zh-CN"/>
              </w:rPr>
              <w:t>1.材料规格：全瓷踢脚线</w:t>
            </w:r>
          </w:p>
        </w:tc>
        <w:tc>
          <w:tcPr>
            <w:tcW w:w="1258" w:type="dxa"/>
            <w:vAlign w:val="center"/>
          </w:tcPr>
          <w:p w14:paraId="7B0C1FFC">
            <w:pPr>
              <w:pStyle w:val="41"/>
              <w:spacing w:before="56" w:line="188" w:lineRule="auto"/>
              <w:jc w:val="center"/>
              <w:rPr>
                <w:rFonts w:hint="eastAsia" w:ascii="宋体" w:hAnsi="宋体" w:eastAsia="宋体" w:cs="宋体"/>
                <w:spacing w:val="7"/>
                <w:sz w:val="21"/>
                <w:szCs w:val="21"/>
                <w:lang w:val="en-US" w:eastAsia="zh-CN"/>
              </w:rPr>
            </w:pPr>
            <w:r>
              <w:rPr>
                <w:rFonts w:hint="eastAsia" w:cs="宋体"/>
                <w:spacing w:val="7"/>
                <w:sz w:val="21"/>
                <w:szCs w:val="21"/>
                <w:lang w:val="en-US" w:eastAsia="zh-CN"/>
              </w:rPr>
              <w:t>m</w:t>
            </w:r>
          </w:p>
        </w:tc>
        <w:tc>
          <w:tcPr>
            <w:tcW w:w="1903" w:type="dxa"/>
            <w:vAlign w:val="center"/>
          </w:tcPr>
          <w:p w14:paraId="5DFDC675">
            <w:pPr>
              <w:pStyle w:val="41"/>
              <w:spacing w:before="55" w:line="189" w:lineRule="auto"/>
              <w:ind w:right="8"/>
              <w:jc w:val="center"/>
              <w:rPr>
                <w:rFonts w:hint="default" w:eastAsia="宋体"/>
                <w:sz w:val="21"/>
                <w:szCs w:val="21"/>
                <w:lang w:val="en-US" w:eastAsia="zh-CN"/>
              </w:rPr>
            </w:pPr>
            <w:r>
              <w:rPr>
                <w:rFonts w:hint="eastAsia"/>
                <w:sz w:val="21"/>
                <w:szCs w:val="21"/>
                <w:lang w:val="en-US" w:eastAsia="zh-CN"/>
              </w:rPr>
              <w:t>23</w:t>
            </w:r>
          </w:p>
        </w:tc>
      </w:tr>
      <w:tr w14:paraId="342B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20" w:type="dxa"/>
            <w:tcBorders>
              <w:left w:val="single" w:color="000000" w:sz="8" w:space="0"/>
            </w:tcBorders>
            <w:vAlign w:val="center"/>
          </w:tcPr>
          <w:p w14:paraId="0C80EFEB">
            <w:pPr>
              <w:pStyle w:val="41"/>
              <w:spacing w:before="56" w:line="18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48" w:type="dxa"/>
            <w:vAlign w:val="center"/>
          </w:tcPr>
          <w:p w14:paraId="615B0F1A">
            <w:pPr>
              <w:pStyle w:val="41"/>
              <w:spacing w:before="169" w:line="230" w:lineRule="auto"/>
              <w:ind w:left="20"/>
              <w:jc w:val="center"/>
              <w:rPr>
                <w:rFonts w:hint="default" w:eastAsia="宋体"/>
                <w:sz w:val="21"/>
                <w:szCs w:val="21"/>
                <w:lang w:val="en-US" w:eastAsia="zh-CN"/>
              </w:rPr>
            </w:pPr>
            <w:r>
              <w:rPr>
                <w:rFonts w:hint="eastAsia"/>
                <w:spacing w:val="9"/>
                <w:sz w:val="21"/>
                <w:szCs w:val="21"/>
                <w:lang w:val="en-US" w:eastAsia="zh-CN"/>
              </w:rPr>
              <w:t>水电线路改造</w:t>
            </w:r>
          </w:p>
        </w:tc>
        <w:tc>
          <w:tcPr>
            <w:tcW w:w="2418" w:type="dxa"/>
            <w:vAlign w:val="center"/>
          </w:tcPr>
          <w:p w14:paraId="09F689E7">
            <w:pPr>
              <w:pStyle w:val="41"/>
              <w:spacing w:before="84" w:line="197" w:lineRule="auto"/>
              <w:ind w:left="37"/>
              <w:jc w:val="center"/>
              <w:rPr>
                <w:rFonts w:hint="default" w:eastAsia="宋体"/>
                <w:sz w:val="21"/>
                <w:szCs w:val="21"/>
                <w:lang w:val="en-US" w:eastAsia="zh-CN"/>
              </w:rPr>
            </w:pPr>
            <w:r>
              <w:rPr>
                <w:rFonts w:hint="eastAsia"/>
                <w:sz w:val="21"/>
                <w:szCs w:val="21"/>
                <w:lang w:val="en-US" w:eastAsia="zh-CN"/>
              </w:rPr>
              <w:t>1.材料规格：PPR水管、铜线</w:t>
            </w:r>
          </w:p>
        </w:tc>
        <w:tc>
          <w:tcPr>
            <w:tcW w:w="1258" w:type="dxa"/>
            <w:vAlign w:val="center"/>
          </w:tcPr>
          <w:p w14:paraId="1D11707C">
            <w:pPr>
              <w:pStyle w:val="41"/>
              <w:spacing w:before="56" w:line="188" w:lineRule="auto"/>
              <w:jc w:val="center"/>
              <w:rPr>
                <w:rFonts w:hint="default" w:ascii="宋体" w:hAnsi="宋体" w:eastAsia="宋体" w:cs="宋体"/>
                <w:spacing w:val="7"/>
                <w:sz w:val="21"/>
                <w:szCs w:val="21"/>
                <w:lang w:val="en-US" w:eastAsia="zh-CN"/>
              </w:rPr>
            </w:pPr>
            <w:r>
              <w:rPr>
                <w:rFonts w:hint="eastAsia" w:cs="宋体"/>
                <w:spacing w:val="7"/>
                <w:sz w:val="21"/>
                <w:szCs w:val="21"/>
                <w:lang w:val="en-US" w:eastAsia="zh-CN"/>
              </w:rPr>
              <w:t>m</w:t>
            </w:r>
          </w:p>
        </w:tc>
        <w:tc>
          <w:tcPr>
            <w:tcW w:w="1903" w:type="dxa"/>
            <w:vAlign w:val="center"/>
          </w:tcPr>
          <w:p w14:paraId="51720090">
            <w:pPr>
              <w:pStyle w:val="41"/>
              <w:spacing w:before="201" w:line="187" w:lineRule="auto"/>
              <w:ind w:right="10"/>
              <w:jc w:val="center"/>
              <w:rPr>
                <w:rFonts w:hint="default" w:eastAsia="宋体"/>
                <w:sz w:val="21"/>
                <w:szCs w:val="21"/>
                <w:lang w:val="en-US" w:eastAsia="zh-CN"/>
              </w:rPr>
            </w:pPr>
            <w:r>
              <w:rPr>
                <w:rFonts w:hint="eastAsia"/>
                <w:sz w:val="21"/>
                <w:szCs w:val="21"/>
                <w:lang w:val="en-US" w:eastAsia="zh-CN"/>
              </w:rPr>
              <w:t>水管32、铜线25</w:t>
            </w:r>
          </w:p>
        </w:tc>
      </w:tr>
      <w:tr w14:paraId="0000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20" w:type="dxa"/>
            <w:tcBorders>
              <w:left w:val="single" w:color="000000" w:sz="8" w:space="0"/>
            </w:tcBorders>
            <w:vAlign w:val="center"/>
          </w:tcPr>
          <w:p w14:paraId="6594A549">
            <w:pPr>
              <w:pStyle w:val="41"/>
              <w:spacing w:before="56" w:line="189" w:lineRule="auto"/>
              <w:jc w:val="center"/>
              <w:rPr>
                <w:rFonts w:hint="eastAsia" w:ascii="宋体" w:hAnsi="宋体" w:eastAsia="宋体" w:cs="宋体"/>
                <w:sz w:val="21"/>
                <w:szCs w:val="21"/>
                <w:lang w:val="en-US" w:eastAsia="zh-CN"/>
              </w:rPr>
            </w:pPr>
            <w:r>
              <w:rPr>
                <w:rFonts w:hint="eastAsia" w:cs="宋体"/>
                <w:sz w:val="21"/>
                <w:szCs w:val="21"/>
                <w:lang w:val="en-US" w:eastAsia="zh-CN"/>
              </w:rPr>
              <w:t>5</w:t>
            </w:r>
          </w:p>
        </w:tc>
        <w:tc>
          <w:tcPr>
            <w:tcW w:w="1448" w:type="dxa"/>
            <w:vAlign w:val="center"/>
          </w:tcPr>
          <w:p w14:paraId="2E82ADF1">
            <w:pPr>
              <w:pStyle w:val="41"/>
              <w:spacing w:before="169" w:line="230" w:lineRule="auto"/>
              <w:ind w:left="20" w:leftChars="0"/>
              <w:jc w:val="center"/>
              <w:rPr>
                <w:rFonts w:hint="eastAsia"/>
                <w:spacing w:val="9"/>
                <w:sz w:val="21"/>
                <w:szCs w:val="21"/>
                <w:lang w:val="en-US" w:eastAsia="zh-CN"/>
              </w:rPr>
            </w:pPr>
            <w:r>
              <w:rPr>
                <w:rFonts w:hint="eastAsia"/>
                <w:spacing w:val="9"/>
                <w:sz w:val="21"/>
                <w:szCs w:val="21"/>
                <w:lang w:val="en-US" w:eastAsia="zh-CN"/>
              </w:rPr>
              <w:t>外墙漆</w:t>
            </w:r>
          </w:p>
        </w:tc>
        <w:tc>
          <w:tcPr>
            <w:tcW w:w="2418" w:type="dxa"/>
            <w:vAlign w:val="center"/>
          </w:tcPr>
          <w:p w14:paraId="67624B17">
            <w:pPr>
              <w:pStyle w:val="41"/>
              <w:spacing w:before="84" w:line="197" w:lineRule="auto"/>
              <w:ind w:left="37" w:leftChars="0"/>
              <w:jc w:val="center"/>
              <w:rPr>
                <w:rFonts w:hint="eastAsia"/>
                <w:sz w:val="21"/>
                <w:szCs w:val="21"/>
                <w:lang w:val="en-US" w:eastAsia="zh-CN"/>
              </w:rPr>
            </w:pPr>
            <w:r>
              <w:rPr>
                <w:rFonts w:hint="eastAsia"/>
                <w:sz w:val="21"/>
                <w:szCs w:val="21"/>
                <w:lang w:val="en-US" w:eastAsia="zh-CN"/>
              </w:rPr>
              <w:t>1.材料规格：米白色涂料</w:t>
            </w:r>
          </w:p>
        </w:tc>
        <w:tc>
          <w:tcPr>
            <w:tcW w:w="1258" w:type="dxa"/>
            <w:vAlign w:val="center"/>
          </w:tcPr>
          <w:p w14:paraId="210654B5">
            <w:pPr>
              <w:pStyle w:val="41"/>
              <w:spacing w:before="56" w:line="188" w:lineRule="auto"/>
              <w:jc w:val="center"/>
              <w:rPr>
                <w:rFonts w:hint="eastAsia" w:cs="宋体"/>
                <w:spacing w:val="7"/>
                <w:sz w:val="21"/>
                <w:szCs w:val="21"/>
                <w:lang w:val="en-US" w:eastAsia="zh-CN"/>
              </w:rPr>
            </w:pPr>
            <w:r>
              <w:rPr>
                <w:rFonts w:hint="eastAsia" w:cs="宋体"/>
                <w:spacing w:val="7"/>
                <w:sz w:val="21"/>
                <w:szCs w:val="21"/>
                <w:lang w:val="en-US" w:eastAsia="zh-CN"/>
              </w:rPr>
              <w:t>㎡</w:t>
            </w:r>
          </w:p>
        </w:tc>
        <w:tc>
          <w:tcPr>
            <w:tcW w:w="1903" w:type="dxa"/>
            <w:vAlign w:val="center"/>
          </w:tcPr>
          <w:p w14:paraId="2AF92F42">
            <w:pPr>
              <w:pStyle w:val="41"/>
              <w:spacing w:before="201" w:line="187" w:lineRule="auto"/>
              <w:ind w:right="10" w:rightChars="0"/>
              <w:jc w:val="center"/>
              <w:rPr>
                <w:rFonts w:hint="eastAsia"/>
                <w:sz w:val="21"/>
                <w:szCs w:val="21"/>
                <w:lang w:val="en-US" w:eastAsia="zh-CN"/>
              </w:rPr>
            </w:pPr>
            <w:r>
              <w:rPr>
                <w:rFonts w:hint="eastAsia"/>
                <w:sz w:val="21"/>
                <w:szCs w:val="21"/>
                <w:lang w:val="en-US" w:eastAsia="zh-CN"/>
              </w:rPr>
              <w:t>51</w:t>
            </w:r>
          </w:p>
        </w:tc>
      </w:tr>
    </w:tbl>
    <w:p w14:paraId="1AB33925">
      <w:pPr>
        <w:pStyle w:val="19"/>
        <w:ind w:left="0" w:leftChars="0" w:firstLine="0" w:firstLineChars="0"/>
        <w:rPr>
          <w:rFonts w:hint="eastAsia" w:cs="Times New Roman"/>
          <w:b/>
          <w:bCs w:val="0"/>
          <w:sz w:val="36"/>
          <w:szCs w:val="36"/>
          <w:lang w:val="en-US" w:eastAsia="zh-CN"/>
        </w:rPr>
      </w:pPr>
      <w:r>
        <w:rPr>
          <w:rFonts w:hint="eastAsia" w:cs="Times New Roman"/>
          <w:b/>
          <w:bCs w:val="0"/>
          <w:sz w:val="36"/>
          <w:szCs w:val="36"/>
          <w:lang w:val="en-US" w:eastAsia="zh-CN"/>
        </w:rPr>
        <w:t>质保期：</w:t>
      </w:r>
    </w:p>
    <w:p w14:paraId="56E135EA">
      <w:pPr>
        <w:pStyle w:val="6"/>
        <w:ind w:left="0" w:leftChars="0" w:firstLine="640" w:firstLineChars="200"/>
        <w:rPr>
          <w:rFonts w:hint="eastAsia"/>
          <w:b/>
          <w:sz w:val="36"/>
          <w:szCs w:val="36"/>
        </w:rPr>
      </w:pPr>
      <w:r>
        <w:rPr>
          <w:rFonts w:hint="eastAsia" w:ascii="Times New Roman" w:hAnsi="Times New Roman" w:eastAsia="宋体" w:cs="Times New Roman"/>
          <w:b w:val="0"/>
          <w:bCs/>
          <w:kern w:val="2"/>
          <w:sz w:val="32"/>
          <w:szCs w:val="32"/>
          <w:lang w:val="en-US" w:eastAsia="zh-CN" w:bidi="ar-SA"/>
        </w:rPr>
        <w:t>售后质保</w:t>
      </w:r>
      <w:r>
        <w:rPr>
          <w:rFonts w:hint="eastAsia" w:ascii="Times New Roman" w:hAnsi="Times New Roman" w:cs="Times New Roman"/>
          <w:b w:val="0"/>
          <w:bCs/>
          <w:kern w:val="2"/>
          <w:sz w:val="32"/>
          <w:szCs w:val="32"/>
          <w:lang w:val="en-US" w:eastAsia="zh-CN" w:bidi="ar-SA"/>
        </w:rPr>
        <w:t>期限</w:t>
      </w:r>
      <w:r>
        <w:rPr>
          <w:rFonts w:hint="eastAsia" w:ascii="Times New Roman" w:hAnsi="Times New Roman" w:eastAsia="宋体" w:cs="Times New Roman"/>
          <w:b w:val="0"/>
          <w:bCs/>
          <w:kern w:val="2"/>
          <w:sz w:val="32"/>
          <w:szCs w:val="32"/>
          <w:lang w:val="en-US" w:eastAsia="zh-CN" w:bidi="ar-SA"/>
        </w:rPr>
        <w:t>最低一年，质保期内如果出现任何质量问题，施工方给予免费维修或更换材料。</w:t>
      </w:r>
    </w:p>
    <w:p w14:paraId="70229BD8">
      <w:pPr>
        <w:pStyle w:val="6"/>
        <w:numPr>
          <w:ilvl w:val="0"/>
          <w:numId w:val="0"/>
        </w:numPr>
        <w:rPr>
          <w:rFonts w:hint="default" w:ascii="Times New Roman" w:hAnsi="Times New Roman" w:cs="Times New Roman"/>
          <w:b w:val="0"/>
          <w:bCs/>
          <w:kern w:val="2"/>
          <w:sz w:val="32"/>
          <w:szCs w:val="32"/>
          <w:lang w:val="en-US" w:eastAsia="zh-CN" w:bidi="ar-SA"/>
        </w:rPr>
      </w:pPr>
    </w:p>
    <w:p w14:paraId="40461D79">
      <w:pPr>
        <w:pStyle w:val="6"/>
        <w:ind w:left="0" w:leftChars="0" w:firstLine="0" w:firstLineChars="0"/>
        <w:rPr>
          <w:b/>
          <w:sz w:val="36"/>
          <w:szCs w:val="36"/>
        </w:rPr>
      </w:pPr>
    </w:p>
    <w:p w14:paraId="2A6A89E7">
      <w:pPr>
        <w:adjustRightInd w:val="0"/>
        <w:snapToGrid w:val="0"/>
        <w:spacing w:line="500" w:lineRule="exact"/>
        <w:jc w:val="both"/>
        <w:rPr>
          <w:rFonts w:hint="eastAsia"/>
          <w:b/>
          <w:sz w:val="36"/>
          <w:szCs w:val="36"/>
        </w:rPr>
      </w:pPr>
    </w:p>
    <w:p w14:paraId="1A18E213">
      <w:pPr>
        <w:adjustRightInd w:val="0"/>
        <w:snapToGrid w:val="0"/>
        <w:spacing w:line="500" w:lineRule="exact"/>
        <w:jc w:val="center"/>
        <w:rPr>
          <w:rFonts w:hint="eastAsia"/>
          <w:b/>
          <w:sz w:val="36"/>
          <w:szCs w:val="36"/>
        </w:rPr>
      </w:pPr>
    </w:p>
    <w:p w14:paraId="3BC7C607">
      <w:pPr>
        <w:adjustRightInd w:val="0"/>
        <w:snapToGrid w:val="0"/>
        <w:spacing w:line="500" w:lineRule="exact"/>
        <w:jc w:val="center"/>
        <w:rPr>
          <w:rFonts w:hint="eastAsia"/>
          <w:b/>
          <w:sz w:val="36"/>
          <w:szCs w:val="36"/>
        </w:rPr>
      </w:pPr>
    </w:p>
    <w:p w14:paraId="0A08948E">
      <w:pPr>
        <w:adjustRightInd w:val="0"/>
        <w:snapToGrid w:val="0"/>
        <w:spacing w:line="500" w:lineRule="exact"/>
        <w:jc w:val="center"/>
        <w:rPr>
          <w:rFonts w:hint="eastAsia"/>
          <w:b/>
          <w:sz w:val="36"/>
          <w:szCs w:val="36"/>
        </w:rPr>
      </w:pPr>
    </w:p>
    <w:p w14:paraId="4FE123D7">
      <w:pPr>
        <w:adjustRightInd w:val="0"/>
        <w:snapToGrid w:val="0"/>
        <w:spacing w:line="500" w:lineRule="exact"/>
        <w:jc w:val="center"/>
        <w:rPr>
          <w:rFonts w:hint="eastAsia"/>
          <w:b/>
          <w:sz w:val="36"/>
          <w:szCs w:val="36"/>
        </w:rPr>
      </w:pPr>
    </w:p>
    <w:p w14:paraId="48350823">
      <w:pPr>
        <w:adjustRightInd w:val="0"/>
        <w:snapToGrid w:val="0"/>
        <w:spacing w:line="500" w:lineRule="exact"/>
        <w:jc w:val="center"/>
        <w:rPr>
          <w:rFonts w:hint="eastAsia"/>
          <w:b/>
          <w:sz w:val="36"/>
          <w:szCs w:val="36"/>
        </w:rPr>
      </w:pPr>
    </w:p>
    <w:p w14:paraId="7A0F459C">
      <w:pPr>
        <w:adjustRightInd w:val="0"/>
        <w:snapToGrid w:val="0"/>
        <w:spacing w:line="500" w:lineRule="exact"/>
        <w:jc w:val="center"/>
        <w:rPr>
          <w:rFonts w:hint="eastAsia"/>
          <w:b/>
          <w:sz w:val="36"/>
          <w:szCs w:val="36"/>
        </w:rPr>
      </w:pPr>
    </w:p>
    <w:p w14:paraId="5447DE9C">
      <w:pPr>
        <w:adjustRightInd w:val="0"/>
        <w:snapToGrid w:val="0"/>
        <w:spacing w:line="500" w:lineRule="exact"/>
        <w:jc w:val="center"/>
        <w:rPr>
          <w:rFonts w:hint="eastAsia"/>
          <w:b/>
          <w:sz w:val="36"/>
          <w:szCs w:val="36"/>
        </w:rPr>
      </w:pPr>
    </w:p>
    <w:p w14:paraId="0FFBDDD2">
      <w:pPr>
        <w:adjustRightInd w:val="0"/>
        <w:snapToGrid w:val="0"/>
        <w:spacing w:line="500" w:lineRule="exact"/>
        <w:jc w:val="center"/>
        <w:rPr>
          <w:rFonts w:hint="eastAsia"/>
          <w:b/>
          <w:sz w:val="36"/>
          <w:szCs w:val="36"/>
        </w:rPr>
      </w:pPr>
    </w:p>
    <w:p w14:paraId="0199BCFE">
      <w:pPr>
        <w:adjustRightInd w:val="0"/>
        <w:snapToGrid w:val="0"/>
        <w:spacing w:line="500" w:lineRule="exact"/>
        <w:jc w:val="center"/>
        <w:rPr>
          <w:rFonts w:hint="eastAsia"/>
          <w:b/>
          <w:sz w:val="36"/>
          <w:szCs w:val="36"/>
        </w:rPr>
      </w:pPr>
    </w:p>
    <w:p w14:paraId="4B9396E4">
      <w:pPr>
        <w:adjustRightInd w:val="0"/>
        <w:snapToGrid w:val="0"/>
        <w:spacing w:line="500" w:lineRule="exact"/>
        <w:jc w:val="center"/>
        <w:rPr>
          <w:rFonts w:hint="eastAsia"/>
          <w:b/>
          <w:sz w:val="36"/>
          <w:szCs w:val="36"/>
        </w:rPr>
      </w:pPr>
    </w:p>
    <w:p w14:paraId="6F66CC45">
      <w:pPr>
        <w:adjustRightInd w:val="0"/>
        <w:snapToGrid w:val="0"/>
        <w:spacing w:line="500" w:lineRule="exact"/>
        <w:jc w:val="center"/>
        <w:rPr>
          <w:rFonts w:hint="eastAsia"/>
          <w:b/>
          <w:sz w:val="36"/>
          <w:szCs w:val="36"/>
        </w:rPr>
      </w:pPr>
    </w:p>
    <w:p w14:paraId="0AE70A24">
      <w:pPr>
        <w:adjustRightInd w:val="0"/>
        <w:snapToGrid w:val="0"/>
        <w:spacing w:line="500" w:lineRule="exact"/>
        <w:jc w:val="center"/>
        <w:rPr>
          <w:rFonts w:hint="eastAsia"/>
          <w:b/>
          <w:sz w:val="36"/>
          <w:szCs w:val="36"/>
        </w:rPr>
      </w:pPr>
    </w:p>
    <w:p w14:paraId="08F987F9">
      <w:pPr>
        <w:adjustRightInd w:val="0"/>
        <w:snapToGrid w:val="0"/>
        <w:spacing w:line="500" w:lineRule="exact"/>
        <w:jc w:val="center"/>
        <w:rPr>
          <w:rFonts w:hint="eastAsia"/>
          <w:b/>
          <w:sz w:val="36"/>
          <w:szCs w:val="36"/>
        </w:rPr>
      </w:pPr>
    </w:p>
    <w:p w14:paraId="2AF81C13">
      <w:pPr>
        <w:adjustRightInd w:val="0"/>
        <w:snapToGrid w:val="0"/>
        <w:spacing w:line="500" w:lineRule="exact"/>
        <w:jc w:val="center"/>
        <w:rPr>
          <w:rFonts w:hint="eastAsia"/>
          <w:b/>
          <w:sz w:val="36"/>
          <w:szCs w:val="36"/>
        </w:rPr>
      </w:pPr>
    </w:p>
    <w:p w14:paraId="58EE0D49">
      <w:pPr>
        <w:adjustRightInd w:val="0"/>
        <w:snapToGrid w:val="0"/>
        <w:spacing w:line="500" w:lineRule="exact"/>
        <w:jc w:val="both"/>
        <w:rPr>
          <w:rFonts w:hint="eastAsia"/>
          <w:b/>
          <w:sz w:val="36"/>
          <w:szCs w:val="36"/>
        </w:rPr>
      </w:pPr>
    </w:p>
    <w:p w14:paraId="4981E79A">
      <w:pPr>
        <w:adjustRightInd w:val="0"/>
        <w:snapToGrid w:val="0"/>
        <w:spacing w:line="500" w:lineRule="exact"/>
        <w:jc w:val="center"/>
        <w:rPr>
          <w:rFonts w:hint="eastAsia"/>
          <w:b/>
          <w:sz w:val="36"/>
          <w:szCs w:val="36"/>
        </w:rPr>
      </w:pPr>
    </w:p>
    <w:p w14:paraId="4A197D61">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3"/>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0"/>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（30分）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F2994F">
            <w:pPr>
              <w:widowControl/>
              <w:jc w:val="center"/>
              <w:rPr>
                <w:rFonts w:hint="default" w:ascii="宋体" w:hAnsi="宋体" w:eastAsia="宋体" w:cs="宋体"/>
                <w:sz w:val="24"/>
                <w:szCs w:val="24"/>
                <w:highlight w:val="none"/>
                <w:lang w:val="en-US"/>
              </w:rPr>
            </w:pPr>
            <w:r>
              <w:rPr>
                <w:rFonts w:hint="eastAsia" w:ascii="仿宋" w:hAnsi="仿宋" w:eastAsia="仿宋" w:cs="仿宋"/>
                <w:kern w:val="0"/>
                <w:sz w:val="24"/>
                <w:lang w:val="en-US" w:eastAsia="zh-CN"/>
              </w:rPr>
              <w:t>技术部分（50分）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06636099">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根据招标文件对第三项服务标准及要求的（未标记“**”的技术参数）偏离情况进行评分。</w:t>
            </w:r>
          </w:p>
          <w:p w14:paraId="441AAB1A">
            <w:pPr>
              <w:rPr>
                <w:rFonts w:hint="eastAsia" w:ascii="宋体" w:hAnsi="宋体" w:eastAsia="宋体" w:cs="宋体"/>
                <w:sz w:val="24"/>
                <w:szCs w:val="24"/>
                <w:highlight w:val="none"/>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全部满足招标文件要求的得满分；与招标文件要求有非实质性负偏离的（以投标文件偏离表载明的为准），有一项扣5分，扣完为止，最高得50分。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013EA33">
            <w:pPr>
              <w:keepNext w:val="0"/>
              <w:keepLines w:val="0"/>
              <w:pageBreakBefore w:val="0"/>
              <w:widowControl/>
              <w:suppressLineNumbers w:val="0"/>
              <w:kinsoku/>
              <w:wordWrap/>
              <w:overflowPunct/>
              <w:topLinePunct w:val="0"/>
              <w:bidi w:val="0"/>
              <w:spacing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改造施工方案（5分</w:t>
            </w:r>
            <w:r>
              <w:rPr>
                <w:rFonts w:hint="eastAsia"/>
                <w:lang w:val="en-US" w:eastAsia="zh-CN"/>
              </w:rPr>
              <w:t>）</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E9EF0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1、改造方案全面、详尽、合理、技术质量有保障的得5分；2、方案基本全面、详尽、合理、技术质量基本有保障的得3分；3、方案不全面不详尽的得1分；无方案的得0分。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BC2C1E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售后服务（5分）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45152E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根据公司承诺的售后服务方案打分。售后方案可行、质保期在三年及以上、售后时效性高的得5分；售后方案可行、质保期为两年的、售后时效性高的得3分；售后方案可行、质保期为一年的、售后时效性高的得1分；无售后方案或售后方案较差、质保期少于一年、售后不及时的均不得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0989EB34">
            <w:pPr>
              <w:snapToGrid w:val="0"/>
              <w:jc w:val="center"/>
              <w:rPr>
                <w:rFonts w:hint="eastAsia" w:ascii="宋体" w:hAnsi="宋体" w:eastAsia="宋体" w:cs="宋体"/>
                <w:sz w:val="24"/>
                <w:szCs w:val="24"/>
                <w:highlight w:val="none"/>
                <w:lang w:val="en-US" w:eastAsia="zh-CN"/>
              </w:rPr>
            </w:pPr>
            <w:r>
              <w:rPr>
                <w:rFonts w:hint="eastAsia" w:ascii="仿宋" w:hAnsi="仿宋" w:eastAsia="仿宋" w:cs="仿宋"/>
                <w:kern w:val="0"/>
                <w:sz w:val="24"/>
                <w:lang w:val="en-US" w:eastAsia="zh-CN"/>
              </w:rPr>
              <w:t>业绩（10分）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0569980A">
            <w:pPr>
              <w:snapToGrid w:val="0"/>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投标人具有2022年1月1日以来类似房屋改造项目的业绩，签订合同两份（含两份）以上的得满分，每少一份扣除5分，最多得10分。</w:t>
            </w:r>
          </w:p>
        </w:tc>
      </w:tr>
    </w:tbl>
    <w:p w14:paraId="33CBA24F">
      <w:pPr>
        <w:jc w:val="center"/>
        <w:rPr>
          <w:rFonts w:hint="eastAsia" w:ascii="宋体" w:hAnsi="宋体"/>
          <w:b/>
          <w:bCs/>
          <w:sz w:val="36"/>
          <w:szCs w:val="36"/>
        </w:rPr>
      </w:pPr>
    </w:p>
    <w:p w14:paraId="05FFFF2F">
      <w:pPr>
        <w:jc w:val="center"/>
        <w:rPr>
          <w:rFonts w:hint="eastAsia" w:ascii="宋体" w:hAnsi="宋体"/>
          <w:b/>
          <w:bCs/>
          <w:sz w:val="36"/>
          <w:szCs w:val="36"/>
        </w:rPr>
      </w:pPr>
    </w:p>
    <w:p w14:paraId="0928912E">
      <w:pPr>
        <w:jc w:val="center"/>
        <w:rPr>
          <w:rFonts w:hint="eastAsia" w:ascii="宋体" w:hAnsi="宋体"/>
          <w:b/>
          <w:bCs/>
          <w:sz w:val="36"/>
          <w:szCs w:val="36"/>
        </w:rPr>
      </w:pPr>
    </w:p>
    <w:p w14:paraId="1DC92E2C">
      <w:pPr>
        <w:jc w:val="center"/>
        <w:rPr>
          <w:rFonts w:hint="eastAsia" w:ascii="宋体" w:hAnsi="宋体"/>
          <w:b/>
          <w:bCs/>
          <w:sz w:val="36"/>
          <w:szCs w:val="36"/>
        </w:rPr>
      </w:pPr>
    </w:p>
    <w:p w14:paraId="4C4F6016">
      <w:pPr>
        <w:jc w:val="center"/>
        <w:rPr>
          <w:rFonts w:hint="eastAsia" w:ascii="宋体" w:hAnsi="宋体"/>
          <w:b/>
          <w:bCs/>
          <w:sz w:val="36"/>
          <w:szCs w:val="36"/>
        </w:rPr>
      </w:pPr>
    </w:p>
    <w:p w14:paraId="322AE735">
      <w:pPr>
        <w:jc w:val="center"/>
        <w:rPr>
          <w:rFonts w:hint="eastAsia" w:ascii="宋体" w:hAnsi="宋体"/>
          <w:b/>
          <w:bCs/>
          <w:sz w:val="36"/>
          <w:szCs w:val="36"/>
        </w:rPr>
      </w:pPr>
    </w:p>
    <w:p w14:paraId="5181300C">
      <w:pPr>
        <w:jc w:val="center"/>
        <w:rPr>
          <w:rFonts w:hint="eastAsia" w:ascii="宋体" w:hAnsi="宋体"/>
          <w:b/>
          <w:bCs/>
          <w:sz w:val="36"/>
          <w:szCs w:val="36"/>
        </w:rPr>
      </w:pPr>
    </w:p>
    <w:p w14:paraId="3F758A76">
      <w:pPr>
        <w:jc w:val="center"/>
        <w:rPr>
          <w:rFonts w:hint="eastAsia" w:ascii="宋体" w:hAnsi="宋体"/>
          <w:b/>
          <w:bCs/>
          <w:sz w:val="36"/>
          <w:szCs w:val="36"/>
        </w:rPr>
      </w:pPr>
    </w:p>
    <w:p w14:paraId="48B5D18F">
      <w:pPr>
        <w:jc w:val="center"/>
        <w:rPr>
          <w:rFonts w:hint="eastAsia" w:ascii="宋体" w:hAnsi="宋体"/>
          <w:b/>
          <w:bCs/>
          <w:sz w:val="36"/>
          <w:szCs w:val="36"/>
        </w:rPr>
      </w:pPr>
    </w:p>
    <w:p w14:paraId="736B8659">
      <w:pPr>
        <w:jc w:val="center"/>
        <w:rPr>
          <w:rFonts w:hint="eastAsia" w:ascii="宋体" w:hAnsi="宋体"/>
          <w:b/>
          <w:bCs/>
          <w:sz w:val="36"/>
          <w:szCs w:val="36"/>
        </w:rPr>
      </w:pPr>
    </w:p>
    <w:p w14:paraId="48862D38">
      <w:pPr>
        <w:jc w:val="center"/>
        <w:rPr>
          <w:rFonts w:hint="eastAsia" w:ascii="宋体" w:hAnsi="宋体"/>
          <w:b/>
          <w:bCs/>
          <w:sz w:val="36"/>
          <w:szCs w:val="36"/>
        </w:rPr>
      </w:pPr>
    </w:p>
    <w:p w14:paraId="74C26742">
      <w:pPr>
        <w:jc w:val="center"/>
        <w:rPr>
          <w:rFonts w:hint="eastAsia" w:ascii="宋体" w:hAnsi="宋体"/>
          <w:b/>
          <w:bCs/>
          <w:sz w:val="36"/>
          <w:szCs w:val="36"/>
        </w:rPr>
      </w:pPr>
    </w:p>
    <w:p w14:paraId="5E95566C">
      <w:pPr>
        <w:jc w:val="center"/>
        <w:rPr>
          <w:rFonts w:hint="eastAsia" w:ascii="宋体" w:hAnsi="宋体"/>
          <w:b/>
          <w:bCs/>
          <w:sz w:val="36"/>
          <w:szCs w:val="36"/>
        </w:rPr>
      </w:pPr>
    </w:p>
    <w:p w14:paraId="30081883">
      <w:pPr>
        <w:jc w:val="center"/>
        <w:rPr>
          <w:rFonts w:hint="eastAsia" w:ascii="宋体" w:hAnsi="宋体"/>
          <w:b/>
          <w:bCs/>
          <w:sz w:val="36"/>
          <w:szCs w:val="36"/>
        </w:rPr>
      </w:pPr>
    </w:p>
    <w:p w14:paraId="22C86FE8">
      <w:pPr>
        <w:jc w:val="center"/>
        <w:rPr>
          <w:rFonts w:hint="eastAsia" w:ascii="宋体" w:hAnsi="宋体"/>
          <w:b/>
          <w:bCs/>
          <w:sz w:val="36"/>
          <w:szCs w:val="36"/>
        </w:rPr>
      </w:pPr>
    </w:p>
    <w:p w14:paraId="30BFCD55">
      <w:pPr>
        <w:jc w:val="center"/>
        <w:rPr>
          <w:rFonts w:hint="eastAsia" w:ascii="宋体" w:hAnsi="宋体"/>
          <w:b/>
          <w:bCs/>
          <w:sz w:val="36"/>
          <w:szCs w:val="36"/>
        </w:rPr>
      </w:pPr>
    </w:p>
    <w:p w14:paraId="1F4D3330">
      <w:pPr>
        <w:jc w:val="center"/>
        <w:rPr>
          <w:rFonts w:hint="eastAsia" w:ascii="宋体" w:hAnsi="宋体"/>
          <w:b/>
          <w:bCs/>
          <w:sz w:val="36"/>
          <w:szCs w:val="36"/>
        </w:rPr>
      </w:pPr>
    </w:p>
    <w:p w14:paraId="37D87211">
      <w:pPr>
        <w:jc w:val="center"/>
        <w:rPr>
          <w:rFonts w:hint="eastAsia" w:ascii="宋体" w:hAnsi="宋体"/>
          <w:b/>
          <w:bCs/>
          <w:sz w:val="36"/>
          <w:szCs w:val="36"/>
        </w:rPr>
      </w:pPr>
    </w:p>
    <w:p w14:paraId="3D9A236D">
      <w:pPr>
        <w:jc w:val="center"/>
        <w:rPr>
          <w:rFonts w:hint="eastAsia" w:ascii="宋体" w:hAnsi="宋体"/>
          <w:b/>
          <w:bCs/>
          <w:sz w:val="36"/>
          <w:szCs w:val="36"/>
        </w:rPr>
      </w:pPr>
    </w:p>
    <w:p w14:paraId="2B872D77">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w:t>
      </w:r>
      <w:r>
        <w:rPr>
          <w:rFonts w:hint="eastAsia" w:ascii="仿宋" w:hAnsi="仿宋" w:eastAsia="仿宋"/>
          <w:sz w:val="30"/>
          <w:szCs w:val="30"/>
          <w:lang w:val="en-US" w:eastAsia="zh-CN"/>
        </w:rPr>
        <w:t>医</w:t>
      </w:r>
      <w:r>
        <w:rPr>
          <w:rFonts w:hint="eastAsia" w:ascii="仿宋" w:hAnsi="仿宋" w:eastAsia="仿宋"/>
          <w:sz w:val="30"/>
          <w:szCs w:val="30"/>
        </w:rPr>
        <w:t>医院</w:t>
      </w:r>
      <w:r>
        <w:rPr>
          <w:rFonts w:hint="eastAsia" w:ascii="仿宋" w:hAnsi="仿宋" w:eastAsia="仿宋"/>
          <w:sz w:val="30"/>
          <w:szCs w:val="30"/>
          <w:lang w:val="en-US" w:eastAsia="zh-CN"/>
        </w:rPr>
        <w:t>濮阳县医院（濮阳县中医医院）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1751DD5A">
      <w:pPr>
        <w:spacing w:line="360" w:lineRule="auto"/>
        <w:ind w:right="600" w:firstLine="1500" w:firstLineChars="500"/>
        <w:jc w:val="right"/>
        <w:rPr>
          <w:rFonts w:hint="eastAsia" w:ascii="仿宋" w:hAnsi="仿宋" w:eastAsia="仿宋"/>
          <w:sz w:val="30"/>
          <w:szCs w:val="30"/>
          <w:lang w:val="en-US" w:eastAsia="zh-CN"/>
        </w:rPr>
      </w:pPr>
      <w:r>
        <w:rPr>
          <w:rFonts w:hint="eastAsia" w:ascii="仿宋" w:hAnsi="仿宋" w:eastAsia="仿宋"/>
          <w:sz w:val="30"/>
          <w:szCs w:val="30"/>
          <w:lang w:val="en-US" w:eastAsia="zh-CN"/>
        </w:rPr>
        <w:t>濮阳县中医医院</w:t>
      </w:r>
    </w:p>
    <w:p w14:paraId="089D3BC8">
      <w:pPr>
        <w:pStyle w:val="19"/>
        <w:rPr>
          <w:rFonts w:hint="eastAsia" w:ascii="宋体" w:hAnsi="宋体"/>
          <w:b/>
          <w:bCs/>
          <w:sz w:val="36"/>
          <w:szCs w:val="36"/>
        </w:rPr>
      </w:pPr>
    </w:p>
    <w:p w14:paraId="35568E1D">
      <w:pPr>
        <w:pStyle w:val="6"/>
        <w:rPr>
          <w:rFonts w:hint="eastAsia" w:ascii="宋体" w:hAnsi="宋体"/>
          <w:b/>
          <w:bCs/>
          <w:sz w:val="36"/>
          <w:szCs w:val="36"/>
        </w:rPr>
      </w:pPr>
    </w:p>
    <w:p w14:paraId="472892B8">
      <w:pPr>
        <w:pStyle w:val="6"/>
        <w:rPr>
          <w:rFonts w:hint="eastAsia" w:ascii="宋体" w:hAnsi="宋体"/>
          <w:b/>
          <w:bCs/>
          <w:sz w:val="36"/>
          <w:szCs w:val="36"/>
        </w:rPr>
      </w:pPr>
    </w:p>
    <w:p w14:paraId="629DCD37">
      <w:pPr>
        <w:pStyle w:val="6"/>
        <w:rPr>
          <w:rFonts w:hint="eastAsia" w:ascii="宋体" w:hAnsi="宋体"/>
          <w:b/>
          <w:bCs/>
          <w:sz w:val="36"/>
          <w:szCs w:val="36"/>
        </w:rPr>
      </w:pPr>
    </w:p>
    <w:p w14:paraId="038C65FA">
      <w:pPr>
        <w:pStyle w:val="6"/>
        <w:rPr>
          <w:rFonts w:hint="eastAsia" w:ascii="宋体" w:hAnsi="宋体"/>
          <w:b/>
          <w:bCs/>
          <w:sz w:val="36"/>
          <w:szCs w:val="36"/>
        </w:rPr>
      </w:pPr>
    </w:p>
    <w:p w14:paraId="18B8E31D">
      <w:pPr>
        <w:pStyle w:val="6"/>
        <w:rPr>
          <w:rFonts w:hint="eastAsia" w:ascii="宋体" w:hAnsi="宋体"/>
          <w:b/>
          <w:bCs/>
          <w:sz w:val="36"/>
          <w:szCs w:val="36"/>
        </w:rPr>
      </w:pPr>
    </w:p>
    <w:p w14:paraId="0DA72785">
      <w:pPr>
        <w:pStyle w:val="6"/>
        <w:rPr>
          <w:rFonts w:hint="eastAsia" w:ascii="宋体" w:hAnsi="宋体"/>
          <w:b/>
          <w:bCs/>
          <w:sz w:val="36"/>
          <w:szCs w:val="36"/>
        </w:rPr>
      </w:pPr>
    </w:p>
    <w:p w14:paraId="30340E9A">
      <w:pPr>
        <w:pStyle w:val="6"/>
        <w:rPr>
          <w:rFonts w:hint="eastAsia" w:ascii="宋体" w:hAnsi="宋体"/>
          <w:b/>
          <w:bCs/>
          <w:sz w:val="36"/>
          <w:szCs w:val="36"/>
        </w:rPr>
      </w:pPr>
    </w:p>
    <w:p w14:paraId="6AF8881B">
      <w:pPr>
        <w:pStyle w:val="6"/>
        <w:rPr>
          <w:rFonts w:hint="eastAsia" w:ascii="宋体" w:hAnsi="宋体"/>
          <w:b/>
          <w:bCs/>
          <w:sz w:val="36"/>
          <w:szCs w:val="36"/>
        </w:rPr>
      </w:pPr>
    </w:p>
    <w:p w14:paraId="144463E8">
      <w:pPr>
        <w:pStyle w:val="6"/>
        <w:rPr>
          <w:rFonts w:hint="eastAsia" w:ascii="宋体" w:hAnsi="宋体"/>
          <w:b/>
          <w:bCs/>
          <w:sz w:val="36"/>
          <w:szCs w:val="36"/>
        </w:rPr>
      </w:pPr>
    </w:p>
    <w:p w14:paraId="3EEA17F7">
      <w:pPr>
        <w:pStyle w:val="6"/>
        <w:ind w:left="0" w:leftChars="0" w:firstLine="0" w:firstLineChars="0"/>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老院区煎药房改造项目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28（二次</w:t>
      </w:r>
      <w:bookmarkStart w:id="7" w:name="_GoBack"/>
      <w:bookmarkEnd w:id="7"/>
      <w:r>
        <w:rPr>
          <w:rFonts w:hint="eastAsia" w:ascii="仿宋" w:hAnsi="仿宋" w:eastAsia="仿宋" w:cs="仿宋"/>
          <w:b/>
          <w:sz w:val="30"/>
          <w:szCs w:val="30"/>
          <w:lang w:val="en-US" w:eastAsia="zh-CN"/>
        </w:rPr>
        <w:t>）</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 w:hAnsi="仿宋" w:eastAsia="仿宋"/>
          <w:bCs/>
          <w:sz w:val="32"/>
          <w:szCs w:val="32"/>
        </w:rPr>
      </w:pP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cs="Times New Roman"/>
          <w:bCs/>
          <w:sz w:val="32"/>
          <w:szCs w:val="32"/>
          <w:lang w:val="en-US" w:eastAsia="zh-CN"/>
        </w:rPr>
        <w:t>老院区煎药房改造项目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311E4A8">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7821817B">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4"/>
      </w:rPr>
    </w:pPr>
    <w:r>
      <w:fldChar w:fldCharType="begin"/>
    </w:r>
    <w:r>
      <w:rPr>
        <w:rStyle w:val="24"/>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E1DC00"/>
    <w:multiLevelType w:val="singleLevel"/>
    <w:tmpl w:val="07E1DC00"/>
    <w:lvl w:ilvl="0" w:tentative="0">
      <w:start w:val="1"/>
      <w:numFmt w:val="decimal"/>
      <w:suff w:val="nothing"/>
      <w:lvlText w:val="%1、"/>
      <w:lvlJc w:val="left"/>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D26E37"/>
    <w:rsid w:val="0C067CC9"/>
    <w:rsid w:val="0C1F2B85"/>
    <w:rsid w:val="0C964A9E"/>
    <w:rsid w:val="0CA819EA"/>
    <w:rsid w:val="0D6C2329"/>
    <w:rsid w:val="0DAA7FCC"/>
    <w:rsid w:val="0DD50AA2"/>
    <w:rsid w:val="0E0B096E"/>
    <w:rsid w:val="0E152333"/>
    <w:rsid w:val="0EE005CF"/>
    <w:rsid w:val="0EF102FA"/>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E2116CA"/>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AA709E"/>
    <w:rsid w:val="251F596E"/>
    <w:rsid w:val="25424004"/>
    <w:rsid w:val="2553373E"/>
    <w:rsid w:val="25724563"/>
    <w:rsid w:val="257312CF"/>
    <w:rsid w:val="25AB37E8"/>
    <w:rsid w:val="25D02DFD"/>
    <w:rsid w:val="25D64A2A"/>
    <w:rsid w:val="25EE3B65"/>
    <w:rsid w:val="26096941"/>
    <w:rsid w:val="266D0594"/>
    <w:rsid w:val="26817115"/>
    <w:rsid w:val="270A7EF0"/>
    <w:rsid w:val="27824A11"/>
    <w:rsid w:val="27EB30DD"/>
    <w:rsid w:val="288D74C6"/>
    <w:rsid w:val="289C0E64"/>
    <w:rsid w:val="28BA47B8"/>
    <w:rsid w:val="28BE5CD7"/>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A11249C"/>
    <w:rsid w:val="3A2F05CD"/>
    <w:rsid w:val="3A5F2111"/>
    <w:rsid w:val="3ABF2D2F"/>
    <w:rsid w:val="3B1445AA"/>
    <w:rsid w:val="3B52018A"/>
    <w:rsid w:val="3C042829"/>
    <w:rsid w:val="3C385A9B"/>
    <w:rsid w:val="3C67562A"/>
    <w:rsid w:val="3CA20145"/>
    <w:rsid w:val="3CBC05DB"/>
    <w:rsid w:val="3DA31CF5"/>
    <w:rsid w:val="3E1F1F13"/>
    <w:rsid w:val="3EAD7F28"/>
    <w:rsid w:val="3EB017C6"/>
    <w:rsid w:val="3EB501EE"/>
    <w:rsid w:val="3EE651E8"/>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A96172"/>
    <w:rsid w:val="552471D5"/>
    <w:rsid w:val="555111B5"/>
    <w:rsid w:val="55786661"/>
    <w:rsid w:val="55B73D7B"/>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5025BB"/>
    <w:rsid w:val="5B9D1DAF"/>
    <w:rsid w:val="5BA06434"/>
    <w:rsid w:val="5BCD734C"/>
    <w:rsid w:val="5C6E060C"/>
    <w:rsid w:val="5CE15514"/>
    <w:rsid w:val="5D2119D4"/>
    <w:rsid w:val="5D443BA6"/>
    <w:rsid w:val="5D44499B"/>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4F6D65"/>
    <w:rsid w:val="6F7913D4"/>
    <w:rsid w:val="6FC43B63"/>
    <w:rsid w:val="6FFB03FC"/>
    <w:rsid w:val="70222026"/>
    <w:rsid w:val="70590C2C"/>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586CD4"/>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0"/>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8"/>
    <w:next w:val="6"/>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2"/>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10"/>
    <w:autoRedefine/>
    <w:qFormat/>
    <w:locked/>
    <w:uiPriority w:val="99"/>
    <w:rPr>
      <w:rFonts w:ascii="宋体" w:hAnsi="Courier New"/>
      <w:kern w:val="2"/>
      <w:sz w:val="21"/>
    </w:rPr>
  </w:style>
  <w:style w:type="paragraph" w:customStyle="1" w:styleId="41">
    <w:name w:val="Table Text"/>
    <w:basedOn w:val="1"/>
    <w:semiHidden/>
    <w:qFormat/>
    <w:uiPriority w:val="0"/>
    <w:rPr>
      <w:rFonts w:ascii="宋体" w:hAnsi="宋体" w:eastAsia="宋体" w:cs="宋体"/>
      <w:sz w:val="17"/>
      <w:szCs w:val="17"/>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7406</Words>
  <Characters>7823</Characters>
  <Lines>124</Lines>
  <Paragraphs>34</Paragraphs>
  <TotalTime>7</TotalTime>
  <ScaleCrop>false</ScaleCrop>
  <LinksUpToDate>false</LinksUpToDate>
  <CharactersWithSpaces>10841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2025-11-28T08:10:54Z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90EBD7DD353D48A1A04E49819BBCF156_13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